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pageBreakBefore w:val="0"/>
        <w:kinsoku/>
        <w:wordWrap/>
        <w:overflowPunct/>
        <w:topLinePunct w:val="0"/>
        <w:autoSpaceDE/>
        <w:autoSpaceDN/>
        <w:bidi w:val="0"/>
        <w:adjustRightInd/>
        <w:snapToGrid/>
        <w:spacing w:before="0" w:after="0" w:line="240" w:lineRule="auto"/>
        <w:jc w:val="center"/>
        <w:rPr>
          <w:rFonts w:hint="eastAsia" w:asciiTheme="minorEastAsia" w:hAnsiTheme="minorEastAsia" w:eastAsiaTheme="minorEastAsia" w:cstheme="minorEastAsia"/>
          <w:b/>
          <w:bCs w:val="0"/>
          <w:color w:val="auto"/>
          <w:kern w:val="44"/>
          <w:sz w:val="21"/>
          <w:szCs w:val="21"/>
          <w:lang w:val="en-US" w:eastAsia="zh-CN" w:bidi="ar-SA"/>
        </w:rPr>
      </w:pPr>
      <w:r>
        <w:rPr>
          <w:rFonts w:hint="eastAsia" w:asciiTheme="minorEastAsia" w:hAnsiTheme="minorEastAsia" w:eastAsiaTheme="minorEastAsia" w:cstheme="minorEastAsia"/>
          <w:b/>
          <w:bCs w:val="0"/>
          <w:color w:val="auto"/>
          <w:kern w:val="44"/>
          <w:sz w:val="21"/>
          <w:szCs w:val="21"/>
          <w:lang w:val="en-US" w:eastAsia="zh-CN" w:bidi="ar-SA"/>
        </w:rPr>
        <w:t>舒城县人民医院电子签名证书服务采购项目采购需求</w:t>
      </w:r>
    </w:p>
    <w:p>
      <w:pPr>
        <w:keepNext w:val="0"/>
        <w:keepLines w:val="0"/>
        <w:widowControl/>
        <w:suppressLineNumbers w:val="0"/>
        <w:jc w:val="left"/>
        <w:rPr>
          <w:rFonts w:hint="eastAsia" w:asciiTheme="minorEastAsia" w:hAnsiTheme="minorEastAsia" w:eastAsiaTheme="minorEastAsia" w:cstheme="minorEastAsia"/>
          <w:b/>
          <w:bCs w:val="0"/>
          <w:color w:val="auto"/>
          <w:kern w:val="44"/>
          <w:sz w:val="21"/>
          <w:szCs w:val="21"/>
          <w:lang w:val="en-US" w:eastAsia="zh-CN" w:bidi="ar-SA"/>
        </w:rPr>
      </w:pPr>
    </w:p>
    <w:p>
      <w:pPr>
        <w:keepNext w:val="0"/>
        <w:keepLines w:val="0"/>
        <w:widowControl/>
        <w:suppressLineNumbers w:val="0"/>
        <w:jc w:val="left"/>
        <w:rPr>
          <w:rFonts w:hint="eastAsia" w:asciiTheme="minorEastAsia" w:hAnsiTheme="minorEastAsia" w:eastAsiaTheme="minorEastAsia" w:cstheme="minorEastAsia"/>
          <w:b/>
          <w:bCs w:val="0"/>
          <w:color w:val="auto"/>
          <w:kern w:val="44"/>
          <w:sz w:val="21"/>
          <w:szCs w:val="21"/>
          <w:lang w:val="en-US" w:eastAsia="zh-CN" w:bidi="ar-SA"/>
        </w:rPr>
      </w:pPr>
      <w:r>
        <w:rPr>
          <w:rFonts w:hint="eastAsia" w:asciiTheme="minorEastAsia" w:hAnsiTheme="minorEastAsia" w:eastAsiaTheme="minorEastAsia" w:cstheme="minorEastAsia"/>
          <w:b/>
          <w:bCs w:val="0"/>
          <w:color w:val="auto"/>
          <w:kern w:val="44"/>
          <w:sz w:val="21"/>
          <w:szCs w:val="21"/>
          <w:lang w:val="en-US" w:eastAsia="zh-CN" w:bidi="ar-SA"/>
        </w:rPr>
        <w:t>采购需求前附表</w:t>
      </w:r>
    </w:p>
    <w:tbl>
      <w:tblPr>
        <w:tblStyle w:val="7"/>
        <w:tblW w:w="85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2"/>
        <w:gridCol w:w="1439"/>
        <w:gridCol w:w="62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86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序号</w:t>
            </w:r>
          </w:p>
        </w:tc>
        <w:tc>
          <w:tcPr>
            <w:tcW w:w="1439"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条款名称</w:t>
            </w:r>
          </w:p>
        </w:tc>
        <w:tc>
          <w:tcPr>
            <w:tcW w:w="62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内容、说明与要求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6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w:t>
            </w:r>
          </w:p>
        </w:tc>
        <w:tc>
          <w:tcPr>
            <w:tcW w:w="1439"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付款方式</w:t>
            </w:r>
          </w:p>
        </w:tc>
        <w:tc>
          <w:tcPr>
            <w:tcW w:w="62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项目验收后支付合同金额50%费用，合同到期后付清尾款。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86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w:t>
            </w:r>
          </w:p>
        </w:tc>
        <w:tc>
          <w:tcPr>
            <w:tcW w:w="1439"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服务地点</w:t>
            </w:r>
          </w:p>
        </w:tc>
        <w:tc>
          <w:tcPr>
            <w:tcW w:w="62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舒城县人民医院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86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w:t>
            </w:r>
          </w:p>
        </w:tc>
        <w:tc>
          <w:tcPr>
            <w:tcW w:w="1439"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服务期限</w:t>
            </w:r>
          </w:p>
        </w:tc>
        <w:tc>
          <w:tcPr>
            <w:tcW w:w="62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自合同签订之日起1年。</w:t>
            </w:r>
          </w:p>
        </w:tc>
      </w:tr>
    </w:tbl>
    <w:p>
      <w:pPr>
        <w:keepNext w:val="0"/>
        <w:keepLines w:val="0"/>
        <w:pageBreakBefore w:val="0"/>
        <w:widowControl/>
        <w:kinsoku/>
        <w:wordWrap/>
        <w:overflowPunct/>
        <w:topLinePunct w:val="0"/>
        <w:autoSpaceDE/>
        <w:autoSpaceDN/>
        <w:bidi w:val="0"/>
        <w:adjustRightInd/>
        <w:snapToGrid/>
        <w:ind w:firstLine="422" w:firstLineChars="200"/>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一、项目概况</w:t>
      </w:r>
    </w:p>
    <w:p>
      <w:pPr>
        <w:keepNext w:val="0"/>
        <w:keepLines w:val="0"/>
        <w:pageBreakBefore w:val="0"/>
        <w:widowControl/>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为实现全院无纸化的目标，保障医院电子病历系统、HIS系统、LIS系统、PACS系统的业务信息安全，舒城县人民医院已完成基于移动</w:t>
      </w:r>
      <w:bookmarkStart w:id="4" w:name="_GoBack"/>
      <w:bookmarkEnd w:id="4"/>
      <w:r>
        <w:rPr>
          <w:rFonts w:hint="eastAsia" w:ascii="宋体" w:hAnsi="宋体" w:eastAsia="宋体" w:cs="宋体"/>
          <w:color w:val="auto"/>
          <w:sz w:val="21"/>
          <w:szCs w:val="21"/>
        </w:rPr>
        <w:t>端认证方式的医护电子认证服务项目的建设。因</w:t>
      </w:r>
      <w:r>
        <w:rPr>
          <w:rFonts w:hint="eastAsia" w:ascii="宋体" w:hAnsi="宋体" w:cs="宋体"/>
          <w:color w:val="auto"/>
          <w:sz w:val="21"/>
          <w:szCs w:val="21"/>
          <w:lang w:eastAsia="zh-CN"/>
        </w:rPr>
        <w:t>医务人员签名数字证书</w:t>
      </w:r>
      <w:r>
        <w:rPr>
          <w:rFonts w:hint="eastAsia" w:ascii="宋体" w:hAnsi="宋体" w:eastAsia="宋体" w:cs="宋体"/>
          <w:color w:val="auto"/>
          <w:sz w:val="21"/>
          <w:szCs w:val="21"/>
        </w:rPr>
        <w:t>有效期为1年，现对证书续费服务实施询价采购，续费服务期为1年。</w:t>
      </w:r>
    </w:p>
    <w:p>
      <w:pPr>
        <w:keepNext w:val="0"/>
        <w:keepLines w:val="0"/>
        <w:pageBreakBefore w:val="0"/>
        <w:widowControl/>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项目建设目标有：</w:t>
      </w:r>
    </w:p>
    <w:p>
      <w:pPr>
        <w:keepNext w:val="0"/>
        <w:keepLines w:val="0"/>
        <w:pageBreakBefore w:val="0"/>
        <w:widowControl/>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建立医院统一的电子认证服务体系，面向医院</w:t>
      </w:r>
      <w:r>
        <w:rPr>
          <w:rFonts w:hint="eastAsia" w:ascii="宋体" w:hAnsi="宋体" w:cs="宋体"/>
          <w:color w:val="auto"/>
          <w:sz w:val="21"/>
          <w:szCs w:val="21"/>
          <w:lang w:val="en-US" w:eastAsia="zh-CN"/>
        </w:rPr>
        <w:t>医务</w:t>
      </w:r>
      <w:r>
        <w:rPr>
          <w:rFonts w:hint="eastAsia" w:ascii="宋体" w:hAnsi="宋体" w:eastAsia="宋体" w:cs="宋体"/>
          <w:color w:val="auto"/>
          <w:sz w:val="21"/>
          <w:szCs w:val="21"/>
        </w:rPr>
        <w:t>人员，统一数字证书发放与管理，提供优质的、符合卫生行业规范的数字证书生命周期服务，满足医院的实际需要。</w:t>
      </w:r>
    </w:p>
    <w:p>
      <w:pPr>
        <w:keepNext w:val="0"/>
        <w:keepLines w:val="0"/>
        <w:pageBreakBefore w:val="0"/>
        <w:widowControl/>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建立医院电子病历系统等医院信息系统统一的业务应用安全支撑体系，设计合理的、实用的医院可信医疗业务建设方案，实现电子认证服务和相关技术与医院信息系统的有机集成结合，有效提升医院电子病历等系统的业务信息安全保障水平，构建安全可信的医院医疗业务环境，保证电子病历数据的真实性、完整性、有效性。</w:t>
      </w:r>
    </w:p>
    <w:p>
      <w:pPr>
        <w:keepNext w:val="0"/>
        <w:keepLines w:val="0"/>
        <w:pageBreakBefore w:val="0"/>
        <w:widowControl/>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为院内及互联网医院在线电子处方流转提供可信电子签名，保障院内及互联网医院数据的真实性、完整性和合法性。</w:t>
      </w:r>
    </w:p>
    <w:p>
      <w:pPr>
        <w:keepNext w:val="0"/>
        <w:keepLines w:val="0"/>
        <w:pageBreakBefore w:val="0"/>
        <w:widowControl/>
        <w:kinsoku/>
        <w:wordWrap/>
        <w:overflowPunct/>
        <w:topLinePunct w:val="0"/>
        <w:autoSpaceDE/>
        <w:autoSpaceDN/>
        <w:bidi w:val="0"/>
        <w:adjustRightInd/>
        <w:snapToGrid/>
        <w:ind w:firstLine="422" w:firstLineChars="200"/>
        <w:textAlignment w:val="auto"/>
        <w:rPr>
          <w:rFonts w:hint="eastAsia" w:ascii="宋体" w:hAnsi="宋体" w:eastAsia="宋体" w:cs="宋体"/>
          <w:b/>
          <w:bCs/>
          <w:color w:val="auto"/>
          <w:sz w:val="21"/>
          <w:szCs w:val="21"/>
          <w:lang w:val="en-US" w:eastAsia="zh-CN"/>
        </w:rPr>
      </w:pPr>
      <w:bookmarkStart w:id="0" w:name="_Toc518406380"/>
      <w:r>
        <w:rPr>
          <w:rFonts w:hint="eastAsia" w:ascii="宋体" w:hAnsi="宋体" w:eastAsia="宋体" w:cs="宋体"/>
          <w:b/>
          <w:bCs/>
          <w:color w:val="auto"/>
          <w:sz w:val="21"/>
          <w:szCs w:val="21"/>
          <w:lang w:val="en-US" w:eastAsia="zh-CN"/>
        </w:rPr>
        <w:t>二、相关要求</w:t>
      </w:r>
    </w:p>
    <w:p>
      <w:pPr>
        <w:keepNext w:val="0"/>
        <w:keepLines w:val="0"/>
        <w:pageBreakBefore w:val="0"/>
        <w:widowControl/>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val="zh-CN"/>
        </w:rPr>
        <w:t>所投</w:t>
      </w:r>
      <w:r>
        <w:rPr>
          <w:rFonts w:hint="eastAsia" w:ascii="宋体" w:hAnsi="宋体" w:cs="宋体"/>
          <w:color w:val="auto"/>
          <w:sz w:val="21"/>
          <w:szCs w:val="21"/>
          <w:lang w:val="zh-CN"/>
        </w:rPr>
        <w:t>医务人员签名数字证书</w:t>
      </w:r>
      <w:r>
        <w:rPr>
          <w:rFonts w:hint="eastAsia" w:ascii="宋体" w:hAnsi="宋体" w:eastAsia="宋体" w:cs="宋体"/>
          <w:color w:val="auto"/>
          <w:sz w:val="21"/>
          <w:szCs w:val="21"/>
          <w:lang w:val="zh-CN"/>
        </w:rPr>
        <w:t>须与医院现有CA认证平台实现无缝对接且完全兼容，</w:t>
      </w:r>
      <w:r>
        <w:rPr>
          <w:rFonts w:hint="eastAsia" w:ascii="宋体" w:hAnsi="宋体" w:cs="宋体"/>
          <w:color w:val="auto"/>
          <w:sz w:val="21"/>
          <w:szCs w:val="21"/>
          <w:lang w:val="en-US" w:eastAsia="zh-CN"/>
        </w:rPr>
        <w:t>7</w:t>
      </w:r>
      <w:r>
        <w:rPr>
          <w:rFonts w:hint="eastAsia" w:ascii="宋体" w:hAnsi="宋体" w:eastAsia="宋体" w:cs="宋体"/>
          <w:color w:val="auto"/>
          <w:sz w:val="21"/>
          <w:szCs w:val="21"/>
          <w:lang w:val="zh-CN"/>
        </w:rPr>
        <w:t>日内实现全院证书业务正常使用。</w:t>
      </w:r>
    </w:p>
    <w:p>
      <w:pPr>
        <w:pStyle w:val="2"/>
        <w:keepNext w:val="0"/>
        <w:keepLines w:val="0"/>
        <w:pageBreakBefore w:val="0"/>
        <w:widowControl/>
        <w:kinsoku/>
        <w:wordWrap/>
        <w:overflowPunct/>
        <w:topLinePunct w:val="0"/>
        <w:autoSpaceDE/>
        <w:autoSpaceDN/>
        <w:bidi w:val="0"/>
        <w:adjustRightInd/>
        <w:snapToGrid/>
        <w:spacing w:after="0"/>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2、本项目所涉及的第三方接口费用由中标人自行承担，医院不再另行支付费用。</w:t>
      </w:r>
    </w:p>
    <w:p>
      <w:pPr>
        <w:keepNext w:val="0"/>
        <w:keepLines w:val="0"/>
        <w:pageBreakBefore w:val="0"/>
        <w:widowControl/>
        <w:kinsoku/>
        <w:wordWrap/>
        <w:overflowPunct/>
        <w:topLinePunct w:val="0"/>
        <w:autoSpaceDE/>
        <w:autoSpaceDN/>
        <w:bidi w:val="0"/>
        <w:adjustRightInd/>
        <w:snapToGrid/>
        <w:ind w:firstLine="422" w:firstLineChars="200"/>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三、采购内容</w:t>
      </w:r>
    </w:p>
    <w:p>
      <w:pPr>
        <w:keepNext w:val="0"/>
        <w:keepLines w:val="0"/>
        <w:pageBreakBefore w:val="0"/>
        <w:widowControl/>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项目建设内容和要求</w:t>
      </w:r>
      <w:bookmarkEnd w:id="0"/>
    </w:p>
    <w:p>
      <w:pPr>
        <w:keepNext w:val="0"/>
        <w:keepLines w:val="0"/>
        <w:pageBreakBefore w:val="0"/>
        <w:widowControl/>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 w:val="21"/>
          <w:szCs w:val="21"/>
        </w:rPr>
      </w:pPr>
      <w:bookmarkStart w:id="1" w:name="_Toc518406381"/>
      <w:r>
        <w:rPr>
          <w:rFonts w:hint="eastAsia" w:ascii="宋体" w:hAnsi="宋体" w:eastAsia="宋体" w:cs="宋体"/>
          <w:color w:val="auto"/>
          <w:sz w:val="21"/>
          <w:szCs w:val="21"/>
          <w:lang w:val="en-US" w:eastAsia="zh-CN"/>
        </w:rPr>
        <w:t>1.1</w:t>
      </w:r>
      <w:r>
        <w:rPr>
          <w:rFonts w:hint="eastAsia" w:ascii="宋体" w:hAnsi="宋体" w:eastAsia="宋体" w:cs="宋体"/>
          <w:color w:val="auto"/>
          <w:sz w:val="21"/>
          <w:szCs w:val="21"/>
        </w:rPr>
        <w:t>电子认证服务体系建设要求</w:t>
      </w:r>
      <w:bookmarkEnd w:id="1"/>
    </w:p>
    <w:p>
      <w:pPr>
        <w:keepNext w:val="0"/>
        <w:keepLines w:val="0"/>
        <w:pageBreakBefore w:val="0"/>
        <w:widowControl/>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建立医院的电子认证服务体系，从服务内容、服务模式、服务流程、服务保障等方面，设计符合医院特点的服务模式和流程等，方便证书发放和管理，满足医院实际业务需要。</w:t>
      </w:r>
    </w:p>
    <w:p>
      <w:pPr>
        <w:keepNext w:val="0"/>
        <w:keepLines w:val="0"/>
        <w:pageBreakBefore w:val="0"/>
        <w:widowControl/>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具体满足以下要求：</w:t>
      </w:r>
    </w:p>
    <w:p>
      <w:pPr>
        <w:keepNext w:val="0"/>
        <w:keepLines w:val="0"/>
        <w:pageBreakBefore w:val="0"/>
        <w:widowControl/>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提供证书全生命周期服务，包括证书申请、发放、更新、吊销、丢失补办等服务内容，方便医院用户获取证书服务；</w:t>
      </w:r>
    </w:p>
    <w:p>
      <w:pPr>
        <w:keepNext w:val="0"/>
        <w:keepLines w:val="0"/>
        <w:pageBreakBefore w:val="0"/>
        <w:widowControl/>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提供证书快速应急服务，满足医院对业务连续性的要求；</w:t>
      </w:r>
    </w:p>
    <w:p>
      <w:pPr>
        <w:keepNext w:val="0"/>
        <w:keepLines w:val="0"/>
        <w:pageBreakBefore w:val="0"/>
        <w:widowControl/>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支持按照医院实际应用需要，灵活定制服务交付的业务流程；</w:t>
      </w:r>
    </w:p>
    <w:p>
      <w:pPr>
        <w:keepNext w:val="0"/>
        <w:keepLines w:val="0"/>
        <w:pageBreakBefore w:val="0"/>
        <w:widowControl/>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提供灵活配置证书模版功能，支持自定义扩展项；</w:t>
      </w:r>
    </w:p>
    <w:p>
      <w:pPr>
        <w:keepNext w:val="0"/>
        <w:keepLines w:val="0"/>
        <w:pageBreakBefore w:val="0"/>
        <w:widowControl/>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提供管理员管理、系统管理等日常服务；</w:t>
      </w:r>
    </w:p>
    <w:p>
      <w:pPr>
        <w:keepNext w:val="0"/>
        <w:keepLines w:val="0"/>
        <w:pageBreakBefore w:val="0"/>
        <w:widowControl/>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rPr>
        <w:t>提供对证书发放情况、证书状态等情况进行查询、统计及报表输出功能，满足医院日常管理需要；</w:t>
      </w:r>
    </w:p>
    <w:p>
      <w:pPr>
        <w:keepNext w:val="0"/>
        <w:keepLines w:val="0"/>
        <w:pageBreakBefore w:val="0"/>
        <w:widowControl/>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rPr>
        <w:t>面向院内业务系统及互联网医院，提供基于移动端认证证书。</w:t>
      </w:r>
    </w:p>
    <w:p>
      <w:pPr>
        <w:keepNext w:val="0"/>
        <w:keepLines w:val="0"/>
        <w:pageBreakBefore w:val="0"/>
        <w:widowControl/>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 w:val="21"/>
          <w:szCs w:val="21"/>
        </w:rPr>
      </w:pPr>
      <w:bookmarkStart w:id="2" w:name="_Toc518406382"/>
      <w:r>
        <w:rPr>
          <w:rFonts w:hint="eastAsia" w:ascii="宋体" w:hAnsi="宋体" w:eastAsia="宋体" w:cs="宋体"/>
          <w:color w:val="auto"/>
          <w:sz w:val="21"/>
          <w:szCs w:val="21"/>
          <w:lang w:val="en-US" w:eastAsia="zh-CN"/>
        </w:rPr>
        <w:t>1.2</w:t>
      </w:r>
      <w:r>
        <w:rPr>
          <w:rFonts w:hint="eastAsia" w:ascii="宋体" w:hAnsi="宋体" w:eastAsia="宋体" w:cs="宋体"/>
          <w:color w:val="auto"/>
          <w:sz w:val="21"/>
          <w:szCs w:val="21"/>
        </w:rPr>
        <w:t>可信医疗服务建设要求</w:t>
      </w:r>
      <w:bookmarkEnd w:id="2"/>
    </w:p>
    <w:p>
      <w:pPr>
        <w:keepNext w:val="0"/>
        <w:keepLines w:val="0"/>
        <w:pageBreakBefore w:val="0"/>
        <w:widowControl/>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根据医院电子病历系统等医院信息系统的实际安全需求，设计基于数字证书的应用安全支撑体系，通过证书及证书应用相关产品和技术，实现电子认证服务与医院业务应用的有机结合，解决医院电子病历系统等系统的身份认证、授权管理、责任认定等安全问题，解决电子病历的真实性、完整性、有效性等问题，建立安全可信的医院医疗业务环境。</w:t>
      </w:r>
    </w:p>
    <w:p>
      <w:pPr>
        <w:keepNext w:val="0"/>
        <w:keepLines w:val="0"/>
        <w:pageBreakBefore w:val="0"/>
        <w:widowControl/>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具体满足以下要求：</w:t>
      </w:r>
    </w:p>
    <w:p>
      <w:pPr>
        <w:keepNext w:val="0"/>
        <w:keepLines w:val="0"/>
        <w:pageBreakBefore w:val="0"/>
        <w:widowControl/>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全面分析医院电子病历系统等信息系统的应用安全需求，提出针对的、完善的应用安全支撑体系整体框架，并阐述具体的证书、证书应用产品或证书应用技术构成；</w:t>
      </w:r>
    </w:p>
    <w:p>
      <w:pPr>
        <w:keepNext w:val="0"/>
        <w:keepLines w:val="0"/>
        <w:pageBreakBefore w:val="0"/>
        <w:widowControl/>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分别阐述应用安全支撑体系在医院电子病历系统、HIS系统、LIS系统、PACS系统的应用集成方案，详细说明集成的业务环节和业务流程等，详细阐述在B/S、C/S、C/DB等各类系统架构下的应用集成方式，并满足医院对业务安全、应急处理和业务连续性的要求；</w:t>
      </w:r>
    </w:p>
    <w:p>
      <w:pPr>
        <w:keepNext w:val="0"/>
        <w:keepLines w:val="0"/>
        <w:pageBreakBefore w:val="0"/>
        <w:widowControl/>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详细分析阐述电子签名值的存储方式，并提供能够优化存储、减少空间占用的实用技术方案，有效降低电子签名值的存储占用空间；</w:t>
      </w:r>
    </w:p>
    <w:p>
      <w:pPr>
        <w:keepNext w:val="0"/>
        <w:keepLines w:val="0"/>
        <w:pageBreakBefore w:val="0"/>
        <w:widowControl/>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选用的证书应用产品或应用技术应满足医院信息系统的业务环境以及性能的要求，具备扩展性以满足医院定制化改造需求；应提供标准的、通用的、多样化的接口形态，并满足医院PB、Delphi、VC/VB/.Net、Java、Flash等各类开发平台和技术的实际集成需要；</w:t>
      </w:r>
    </w:p>
    <w:p>
      <w:pPr>
        <w:keepNext w:val="0"/>
        <w:keepLines w:val="0"/>
        <w:pageBreakBefore w:val="0"/>
        <w:widowControl/>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 w:val="21"/>
          <w:szCs w:val="21"/>
        </w:rPr>
      </w:pPr>
      <w:bookmarkStart w:id="3" w:name="_Toc518406384"/>
      <w:r>
        <w:rPr>
          <w:rFonts w:hint="eastAsia" w:ascii="宋体" w:hAnsi="宋体" w:eastAsia="宋体" w:cs="宋体"/>
          <w:color w:val="auto"/>
          <w:sz w:val="21"/>
          <w:szCs w:val="21"/>
          <w:lang w:val="en-US" w:eastAsia="zh-CN"/>
        </w:rPr>
        <w:t>1.3</w:t>
      </w:r>
      <w:r>
        <w:rPr>
          <w:rFonts w:hint="eastAsia" w:ascii="宋体" w:hAnsi="宋体" w:eastAsia="宋体" w:cs="宋体"/>
          <w:color w:val="auto"/>
          <w:sz w:val="21"/>
          <w:szCs w:val="21"/>
        </w:rPr>
        <w:t>售后服务和技术支持要求</w:t>
      </w:r>
      <w:bookmarkEnd w:id="3"/>
    </w:p>
    <w:p>
      <w:pPr>
        <w:keepNext w:val="0"/>
        <w:keepLines w:val="0"/>
        <w:pageBreakBefore w:val="0"/>
        <w:widowControl/>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提供完善的售后服务和技术支持方案，包括但不限于以下内容：</w:t>
      </w:r>
    </w:p>
    <w:p>
      <w:pPr>
        <w:keepNext w:val="0"/>
        <w:keepLines w:val="0"/>
        <w:pageBreakBefore w:val="0"/>
        <w:widowControl/>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投标人应当具有良好的服务理念和完善的售后服务体系，能够按照投标技术方案提供系统集成技术支持服务；</w:t>
      </w:r>
    </w:p>
    <w:p>
      <w:pPr>
        <w:keepNext w:val="0"/>
        <w:keepLines w:val="0"/>
        <w:pageBreakBefore w:val="0"/>
        <w:widowControl/>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在证书的使用、运维等过程中遇到问题时，都能够得到投标人相应的技术支持与帮助；</w:t>
      </w:r>
    </w:p>
    <w:p>
      <w:pPr>
        <w:keepNext w:val="0"/>
        <w:keepLines w:val="0"/>
        <w:pageBreakBefore w:val="0"/>
        <w:widowControl/>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提供7x24小时热线电话、远程网络、现场等技术支持服务，对于系统故障，要求提供快速响应机制，满足医院业务连续性要求；</w:t>
      </w:r>
    </w:p>
    <w:p>
      <w:pPr>
        <w:keepNext w:val="0"/>
        <w:keepLines w:val="0"/>
        <w:pageBreakBefore w:val="0"/>
        <w:widowControl/>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根据医院的业务特点和用户认知程度不同，提出系统而有效的培训方案。</w:t>
      </w:r>
    </w:p>
    <w:p>
      <w:pPr>
        <w:keepNext w:val="0"/>
        <w:keepLines w:val="0"/>
        <w:pageBreakBefore w:val="0"/>
        <w:widowControl/>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5）本项目涉及的第三方接口，如有费用须中标人自行承担，医院不再另行付费。</w:t>
      </w:r>
    </w:p>
    <w:p>
      <w:pPr>
        <w:rPr>
          <w:rFonts w:hint="eastAsia" w:ascii="宋体" w:hAnsi="宋体" w:eastAsia="宋体" w:cs="宋体"/>
          <w:color w:val="auto"/>
          <w:sz w:val="21"/>
          <w:szCs w:val="21"/>
        </w:rPr>
      </w:pPr>
    </w:p>
    <w:p>
      <w:pPr>
        <w:ind w:firstLine="840" w:firstLineChars="4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附1：</w:t>
      </w:r>
      <w:r>
        <w:rPr>
          <w:rFonts w:hint="eastAsia" w:ascii="宋体" w:hAnsi="宋体" w:eastAsia="宋体" w:cs="宋体"/>
          <w:color w:val="auto"/>
          <w:sz w:val="21"/>
          <w:szCs w:val="21"/>
        </w:rPr>
        <w:t>采购清单</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1"/>
        <w:gridCol w:w="2462"/>
        <w:gridCol w:w="945"/>
        <w:gridCol w:w="43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651"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2462"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名称</w:t>
            </w:r>
          </w:p>
        </w:tc>
        <w:tc>
          <w:tcPr>
            <w:tcW w:w="945"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数量</w:t>
            </w:r>
          </w:p>
        </w:tc>
        <w:tc>
          <w:tcPr>
            <w:tcW w:w="4321"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651" w:type="dxa"/>
            <w:noWrap w:val="0"/>
            <w:vAlign w:val="center"/>
          </w:tcPr>
          <w:p>
            <w:pPr>
              <w:jc w:val="center"/>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1</w:t>
            </w:r>
          </w:p>
        </w:tc>
        <w:tc>
          <w:tcPr>
            <w:tcW w:w="2462" w:type="dxa"/>
            <w:noWrap w:val="0"/>
            <w:vAlign w:val="center"/>
          </w:tcPr>
          <w:p>
            <w:pPr>
              <w:jc w:val="center"/>
              <w:rPr>
                <w:rFonts w:hint="eastAsia" w:ascii="宋体" w:hAnsi="宋体" w:eastAsia="宋体" w:cs="宋体"/>
                <w:color w:val="auto"/>
                <w:sz w:val="21"/>
                <w:szCs w:val="21"/>
                <w:lang w:val="en-US"/>
              </w:rPr>
            </w:pPr>
            <w:r>
              <w:rPr>
                <w:rFonts w:hint="eastAsia" w:ascii="宋体" w:hAnsi="宋体" w:cs="宋体"/>
                <w:color w:val="auto"/>
                <w:sz w:val="21"/>
                <w:szCs w:val="21"/>
                <w:highlight w:val="none"/>
                <w:lang w:val="en-US" w:eastAsia="zh-CN"/>
              </w:rPr>
              <w:t>医务人员</w:t>
            </w:r>
            <w:r>
              <w:rPr>
                <w:rFonts w:hint="eastAsia" w:ascii="宋体" w:hAnsi="宋体" w:eastAsia="宋体" w:cs="宋体"/>
                <w:color w:val="auto"/>
                <w:sz w:val="21"/>
                <w:szCs w:val="21"/>
                <w:highlight w:val="none"/>
                <w:lang w:val="en-US"/>
              </w:rPr>
              <w:t>签名数字证书</w:t>
            </w:r>
          </w:p>
        </w:tc>
        <w:tc>
          <w:tcPr>
            <w:tcW w:w="945" w:type="dxa"/>
            <w:noWrap w:val="0"/>
            <w:vAlign w:val="center"/>
          </w:tcPr>
          <w:p>
            <w:pPr>
              <w:jc w:val="center"/>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1000</w:t>
            </w:r>
          </w:p>
        </w:tc>
        <w:tc>
          <w:tcPr>
            <w:tcW w:w="4321" w:type="dxa"/>
            <w:noWrap w:val="0"/>
            <w:vAlign w:val="center"/>
          </w:tcPr>
          <w:p>
            <w:pPr>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标识</w:t>
            </w:r>
            <w:r>
              <w:rPr>
                <w:rFonts w:hint="eastAsia" w:ascii="宋体" w:hAnsi="宋体" w:eastAsia="宋体" w:cs="宋体"/>
                <w:color w:val="auto"/>
                <w:sz w:val="21"/>
                <w:szCs w:val="21"/>
                <w:lang w:val="en-US"/>
              </w:rPr>
              <w:t>院</w:t>
            </w:r>
            <w:r>
              <w:rPr>
                <w:rFonts w:hint="eastAsia" w:ascii="宋体" w:hAnsi="宋体" w:cs="宋体"/>
                <w:color w:val="auto"/>
                <w:sz w:val="21"/>
                <w:szCs w:val="21"/>
                <w:lang w:val="en-US" w:eastAsia="zh-CN"/>
              </w:rPr>
              <w:t>医务人员</w:t>
            </w:r>
            <w:r>
              <w:rPr>
                <w:rFonts w:hint="eastAsia" w:ascii="宋体" w:hAnsi="宋体" w:eastAsia="宋体" w:cs="宋体"/>
                <w:color w:val="auto"/>
                <w:sz w:val="21"/>
                <w:szCs w:val="21"/>
              </w:rPr>
              <w:t>的网络身份，</w:t>
            </w:r>
            <w:r>
              <w:rPr>
                <w:rFonts w:hint="eastAsia" w:ascii="宋体" w:hAnsi="宋体" w:eastAsia="宋体" w:cs="宋体"/>
                <w:color w:val="auto"/>
                <w:sz w:val="21"/>
                <w:szCs w:val="21"/>
                <w:lang w:val="en-US"/>
              </w:rPr>
              <w:t>每年按需结算，服务期1年</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rPr>
              <w:t>数量为1000张</w:t>
            </w:r>
            <w:r>
              <w:rPr>
                <w:rFonts w:hint="eastAsia" w:ascii="宋体" w:hAnsi="宋体" w:cs="宋体"/>
                <w:color w:val="auto"/>
                <w:sz w:val="21"/>
                <w:szCs w:val="21"/>
                <w:lang w:val="en-US" w:eastAsia="zh-CN"/>
              </w:rPr>
              <w:t>。</w:t>
            </w:r>
          </w:p>
        </w:tc>
      </w:tr>
    </w:tbl>
    <w:p>
      <w:pPr>
        <w:ind w:firstLine="840" w:firstLineChars="400"/>
        <w:rPr>
          <w:rFonts w:hint="eastAsia" w:ascii="宋体" w:hAnsi="宋体" w:eastAsia="宋体" w:cs="宋体"/>
          <w:color w:val="auto"/>
          <w:sz w:val="21"/>
          <w:szCs w:val="21"/>
          <w:lang w:val="en-US" w:eastAsia="zh-CN"/>
        </w:rPr>
      </w:pPr>
    </w:p>
    <w:p>
      <w:pPr>
        <w:ind w:firstLine="840" w:firstLineChars="40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附2：</w:t>
      </w:r>
      <w:r>
        <w:rPr>
          <w:rFonts w:hint="eastAsia" w:ascii="宋体" w:hAnsi="宋体" w:eastAsia="宋体" w:cs="宋体"/>
          <w:color w:val="auto"/>
          <w:sz w:val="21"/>
          <w:szCs w:val="21"/>
        </w:rPr>
        <w:t>产品选型要求</w:t>
      </w:r>
      <w:r>
        <w:rPr>
          <w:rFonts w:hint="eastAsia" w:ascii="宋体" w:hAnsi="宋体" w:eastAsia="宋体" w:cs="宋体"/>
          <w:color w:val="auto"/>
          <w:sz w:val="21"/>
          <w:szCs w:val="21"/>
          <w:lang w:eastAsia="zh-CN"/>
        </w:rPr>
        <w:t>（</w:t>
      </w:r>
      <w:r>
        <w:rPr>
          <w:rFonts w:hint="eastAsia" w:ascii="宋体" w:hAnsi="宋体" w:cs="宋体"/>
          <w:color w:val="auto"/>
          <w:sz w:val="21"/>
          <w:szCs w:val="21"/>
          <w:lang w:eastAsia="zh-CN"/>
        </w:rPr>
        <w:t>医务人员签名数字证书</w:t>
      </w:r>
      <w:r>
        <w:rPr>
          <w:rFonts w:hint="eastAsia" w:ascii="宋体" w:hAnsi="宋体" w:eastAsia="宋体" w:cs="宋体"/>
          <w:color w:val="auto"/>
          <w:sz w:val="21"/>
          <w:szCs w:val="21"/>
          <w:lang w:eastAsia="zh-CN"/>
        </w:rPr>
        <w:t>）</w:t>
      </w:r>
    </w:p>
    <w:tbl>
      <w:tblPr>
        <w:tblStyle w:val="6"/>
        <w:tblW w:w="84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7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775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功能指标要求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7754"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采用第三方电子认证机构颁发 X509 v3 的数字证书提供电子签名服务，电子签名服务机构需要取得工信部的《电子认证服务许可证》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7754"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支持算法：支持 RSA1024、RSA2048、SM2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7754"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证书介质：移动终端作为认证与签名设备，利用终端与云服务的互动， 实现应用的云认证与签名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7754"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建设无硬件服务设备和无硬件电子签名设备的云电子认证服务，无硬件的证书分发和管理服务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7754"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密钥管理服务：提供密钥管理云服务，支持密钥由移动终端和云认证服务协商产生。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7754"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实现证书在线更新。</w:t>
            </w:r>
          </w:p>
        </w:tc>
      </w:tr>
    </w:tbl>
    <w:p>
      <w:pPr>
        <w:pStyle w:val="2"/>
        <w:rPr>
          <w:rFonts w:hint="eastAsia" w:asciiTheme="minorEastAsia" w:hAnsiTheme="minorEastAsia" w:eastAsiaTheme="minorEastAsia" w:cstheme="minorEastAsia"/>
          <w:b/>
          <w:bCs/>
          <w:color w:val="auto"/>
          <w:sz w:val="21"/>
          <w:szCs w:val="21"/>
        </w:rPr>
      </w:pPr>
    </w:p>
    <w:p>
      <w:pPr>
        <w:pStyle w:val="3"/>
        <w:rPr>
          <w:rFonts w:hint="eastAsia"/>
          <w:color w:val="auto"/>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EzNDlkZTk1NDBjYTYyMjlmMTI5MzQ5YmM4OWVlZTEifQ=="/>
  </w:docVars>
  <w:rsids>
    <w:rsidRoot w:val="0F70309F"/>
    <w:rsid w:val="0F70309F"/>
    <w:rsid w:val="7FEC31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5">
    <w:name w:val="heading 1"/>
    <w:basedOn w:val="1"/>
    <w:next w:val="1"/>
    <w:qFormat/>
    <w:uiPriority w:val="0"/>
    <w:pPr>
      <w:keepNext/>
      <w:keepLines/>
      <w:spacing w:before="340" w:after="330" w:line="578" w:lineRule="auto"/>
      <w:outlineLvl w:val="0"/>
    </w:pPr>
    <w:rPr>
      <w:rFonts w:eastAsia="黑体"/>
      <w:b/>
      <w:bCs/>
      <w:kern w:val="44"/>
      <w:sz w:val="32"/>
      <w:szCs w:val="44"/>
    </w:rPr>
  </w:style>
  <w:style w:type="character" w:default="1" w:styleId="8">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customStyle="1" w:styleId="3">
    <w:name w:val="正文文本首行缩进1"/>
    <w:basedOn w:val="2"/>
    <w:next w:val="4"/>
    <w:qFormat/>
    <w:uiPriority w:val="0"/>
    <w:pPr>
      <w:widowControl/>
      <w:ind w:firstLine="420" w:firstLineChars="100"/>
      <w:jc w:val="left"/>
    </w:pPr>
    <w:rPr>
      <w:kern w:val="0"/>
      <w:sz w:val="24"/>
    </w:rPr>
  </w:style>
  <w:style w:type="paragraph" w:styleId="4">
    <w:name w:val="toc 6"/>
    <w:basedOn w:val="1"/>
    <w:next w:val="1"/>
    <w:qFormat/>
    <w:uiPriority w:val="0"/>
    <w:pPr>
      <w:ind w:left="1050"/>
      <w:jc w:val="left"/>
    </w:pPr>
    <w:rPr>
      <w:rFonts w:ascii="@仿宋_GB2312" w:hAnsi="@仿宋_GB2312" w:eastAsia="@仿宋_GB2312" w:cs="@仿宋_GB2312"/>
      <w:szCs w:val="21"/>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2036</Words>
  <Characters>2115</Characters>
  <Lines>0</Lines>
  <Paragraphs>0</Paragraphs>
  <TotalTime>0</TotalTime>
  <ScaleCrop>false</ScaleCrop>
  <LinksUpToDate>false</LinksUpToDate>
  <CharactersWithSpaces>2124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2023-06-26T07:19:00Z</dcterms:created>
  <dc:creator>ASUS</dc:creator>
  <cp:lastModifiedBy>ASUS</cp:lastModifiedBy>
  <dcterms:modified xsi:type="dcterms:W3CDTF">2023-06-26T07:28:07Z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423CF6EB5C574D0F92EB824560804A99_11</vt:lpwstr>
  </property>
</Properties>
</file>