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F729E">
      <w:pPr>
        <w:spacing w:line="360" w:lineRule="auto"/>
        <w:jc w:val="center"/>
        <w:outlineLvl w:val="0"/>
        <w:rPr>
          <w:rFonts w:hint="eastAsia" w:asciiTheme="minorEastAsia" w:hAnsiTheme="minorEastAsia" w:eastAsiaTheme="minorEastAsia"/>
          <w:b/>
          <w:color w:val="auto"/>
          <w:sz w:val="28"/>
          <w:highlight w:val="none"/>
          <w:lang w:eastAsia="zh-CN"/>
        </w:rPr>
      </w:pPr>
      <w:bookmarkStart w:id="0" w:name="_Toc20017"/>
      <w:r>
        <w:rPr>
          <w:rFonts w:hint="eastAsia" w:asciiTheme="minorEastAsia" w:hAnsiTheme="minorEastAsia" w:eastAsiaTheme="minorEastAsia"/>
          <w:b/>
          <w:color w:val="auto"/>
          <w:sz w:val="28"/>
          <w:highlight w:val="none"/>
        </w:rPr>
        <w:t>采购需求</w:t>
      </w:r>
      <w:bookmarkEnd w:id="0"/>
    </w:p>
    <w:p w14:paraId="1045BCB5">
      <w:pPr>
        <w:spacing w:line="360" w:lineRule="auto"/>
        <w:rPr>
          <w:rFonts w:asciiTheme="minorEastAsia" w:hAnsiTheme="minorEastAsia" w:eastAsiaTheme="minorEastAsia"/>
          <w:b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/>
          <w:b/>
          <w:color w:val="auto"/>
          <w:sz w:val="24"/>
          <w:highlight w:val="none"/>
        </w:rPr>
        <w:t>前注：</w:t>
      </w:r>
    </w:p>
    <w:p w14:paraId="08269B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1.“█”技术参数未响应或负偏离的，按无效投标处理；</w:t>
      </w:r>
    </w:p>
    <w:p w14:paraId="0484D9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2.“★”技术参数</w:t>
      </w:r>
      <w:r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u w:val="none"/>
          <w:lang w:val="en-US" w:eastAsia="zh-CN"/>
        </w:rPr>
        <w:t>为评分参数；</w:t>
      </w:r>
    </w:p>
    <w:p w14:paraId="42285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/>
          <w:color w:val="auto"/>
          <w:sz w:val="24"/>
          <w:szCs w:val="18"/>
          <w:highlight w:val="none"/>
        </w:rPr>
      </w:pPr>
      <w:r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u w:val="none"/>
          <w:lang w:val="en-US" w:eastAsia="zh-CN"/>
        </w:rPr>
        <w:t>3.非“█或★”技术参数条款≥3</w:t>
      </w:r>
      <w:r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lang w:val="en-US" w:eastAsia="zh-CN"/>
        </w:rPr>
        <w:t>条未响应或负偏离的，按无效投标处理；</w:t>
      </w:r>
    </w:p>
    <w:p w14:paraId="65389090">
      <w:pPr>
        <w:spacing w:line="360" w:lineRule="auto"/>
        <w:ind w:firstLine="437"/>
        <w:outlineLvl w:val="1"/>
        <w:rPr>
          <w:rFonts w:ascii="宋体" w:hAnsi="宋体" w:eastAsia="宋体"/>
          <w:b/>
          <w:color w:val="auto"/>
          <w:sz w:val="24"/>
          <w:szCs w:val="18"/>
          <w:highlight w:val="none"/>
        </w:rPr>
      </w:pPr>
      <w:bookmarkStart w:id="1" w:name="_Toc32151"/>
      <w:bookmarkStart w:id="2" w:name="_Toc2554"/>
      <w:bookmarkStart w:id="3" w:name="_Toc7752"/>
      <w:bookmarkStart w:id="4" w:name="_Toc32021"/>
      <w:r>
        <w:rPr>
          <w:rFonts w:hint="eastAsia" w:ascii="宋体" w:hAnsi="宋体" w:eastAsia="宋体"/>
          <w:b/>
          <w:color w:val="auto"/>
          <w:sz w:val="24"/>
          <w:szCs w:val="18"/>
          <w:highlight w:val="none"/>
        </w:rPr>
        <w:t>一、采购需求前附表</w:t>
      </w:r>
      <w:bookmarkEnd w:id="1"/>
      <w:bookmarkEnd w:id="2"/>
      <w:bookmarkEnd w:id="3"/>
      <w:bookmarkEnd w:id="4"/>
    </w:p>
    <w:tbl>
      <w:tblPr>
        <w:tblStyle w:val="1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125"/>
        <w:gridCol w:w="6691"/>
      </w:tblGrid>
      <w:tr w14:paraId="4BD84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1BD88888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kern w:val="2"/>
                <w:highlight w:val="none"/>
              </w:rPr>
              <w:t>序号</w:t>
            </w:r>
          </w:p>
        </w:tc>
        <w:tc>
          <w:tcPr>
            <w:tcW w:w="660" w:type="pct"/>
            <w:vAlign w:val="center"/>
          </w:tcPr>
          <w:p w14:paraId="4FB862C8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Cs w:val="0"/>
                <w:color w:val="auto"/>
                <w:sz w:val="24"/>
                <w:highlight w:val="none"/>
              </w:rPr>
              <w:t>条款名称</w:t>
            </w:r>
          </w:p>
        </w:tc>
        <w:tc>
          <w:tcPr>
            <w:tcW w:w="3925" w:type="pct"/>
            <w:vAlign w:val="center"/>
          </w:tcPr>
          <w:p w14:paraId="38D9EABA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Cs w:val="0"/>
                <w:color w:val="auto"/>
                <w:sz w:val="24"/>
                <w:highlight w:val="none"/>
              </w:rPr>
              <w:t>内容、说明与要求</w:t>
            </w:r>
          </w:p>
        </w:tc>
      </w:tr>
      <w:tr w14:paraId="078EB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3C5199D6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1</w:t>
            </w:r>
          </w:p>
        </w:tc>
        <w:tc>
          <w:tcPr>
            <w:tcW w:w="660" w:type="pct"/>
            <w:vAlign w:val="center"/>
          </w:tcPr>
          <w:p w14:paraId="020CBB4E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付款方式</w:t>
            </w:r>
          </w:p>
        </w:tc>
        <w:tc>
          <w:tcPr>
            <w:tcW w:w="3925" w:type="pct"/>
            <w:vAlign w:val="center"/>
          </w:tcPr>
          <w:p w14:paraId="38C98939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  <w:u w:val="none"/>
              </w:rPr>
              <w:t>产品交付验收合格后，由供应商提出申请并开具足额增值税发票给予采购人，经采购人审核同意后，根据医院付款规则按项目合同价付清。</w:t>
            </w:r>
          </w:p>
        </w:tc>
      </w:tr>
      <w:tr w14:paraId="1FD2C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1F53FF8A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2</w:t>
            </w:r>
          </w:p>
        </w:tc>
        <w:tc>
          <w:tcPr>
            <w:tcW w:w="660" w:type="pct"/>
            <w:vAlign w:val="center"/>
          </w:tcPr>
          <w:p w14:paraId="35273DC7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供货及安装地点</w:t>
            </w:r>
          </w:p>
        </w:tc>
        <w:tc>
          <w:tcPr>
            <w:tcW w:w="3925" w:type="pct"/>
            <w:vAlign w:val="center"/>
          </w:tcPr>
          <w:p w14:paraId="15EEDFA0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hint="default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  <w:t>舒城县人民医院</w:t>
            </w:r>
          </w:p>
        </w:tc>
      </w:tr>
      <w:tr w14:paraId="51F9B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357A9D70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3</w:t>
            </w:r>
          </w:p>
        </w:tc>
        <w:tc>
          <w:tcPr>
            <w:tcW w:w="660" w:type="pct"/>
            <w:vAlign w:val="center"/>
          </w:tcPr>
          <w:p w14:paraId="263128C0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供货及安装期限</w:t>
            </w:r>
          </w:p>
        </w:tc>
        <w:tc>
          <w:tcPr>
            <w:tcW w:w="3925" w:type="pct"/>
            <w:vAlign w:val="center"/>
          </w:tcPr>
          <w:p w14:paraId="39439B33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自合同签订之日起30日历天内负责免费送货到指定地点，并安装调试完成。</w:t>
            </w:r>
          </w:p>
        </w:tc>
      </w:tr>
      <w:tr w14:paraId="3B688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4CD457F7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4</w:t>
            </w:r>
          </w:p>
        </w:tc>
        <w:tc>
          <w:tcPr>
            <w:tcW w:w="660" w:type="pct"/>
            <w:vAlign w:val="center"/>
          </w:tcPr>
          <w:p w14:paraId="3A8FEC5E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免费质保期</w:t>
            </w:r>
          </w:p>
        </w:tc>
        <w:tc>
          <w:tcPr>
            <w:tcW w:w="3925" w:type="pct"/>
            <w:vAlign w:val="center"/>
          </w:tcPr>
          <w:p w14:paraId="6DCC4E52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hint="default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  <w:t>自验收合格之日起3年</w:t>
            </w:r>
          </w:p>
        </w:tc>
      </w:tr>
    </w:tbl>
    <w:p w14:paraId="42B3ACDE">
      <w:pPr>
        <w:spacing w:line="360" w:lineRule="auto"/>
        <w:ind w:firstLine="437"/>
        <w:outlineLvl w:val="1"/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5" w:name="_Toc27372"/>
      <w:bookmarkStart w:id="6" w:name="_Toc5944"/>
      <w:bookmarkStart w:id="7" w:name="_Toc7671"/>
    </w:p>
    <w:p w14:paraId="28150478">
      <w:pPr>
        <w:spacing w:line="360" w:lineRule="auto"/>
        <w:ind w:firstLine="437"/>
        <w:outlineLvl w:val="1"/>
        <w:rPr>
          <w:rFonts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8" w:name="_Toc2445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二、</w:t>
      </w:r>
      <w:r>
        <w:rPr>
          <w:rFonts w:hint="eastAsia" w:ascii="宋体" w:hAnsi="宋体" w:eastAsia="宋体"/>
          <w:b/>
          <w:color w:val="auto"/>
          <w:sz w:val="24"/>
          <w:szCs w:val="18"/>
          <w:highlight w:val="none"/>
        </w:rPr>
        <w:t>货物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需求</w:t>
      </w:r>
      <w:bookmarkEnd w:id="5"/>
      <w:bookmarkEnd w:id="6"/>
      <w:bookmarkEnd w:id="7"/>
      <w:bookmarkEnd w:id="8"/>
    </w:p>
    <w:p w14:paraId="600237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outlineLvl w:val="1"/>
        <w:rPr>
          <w:rFonts w:hint="default" w:ascii="宋体" w:hAnsi="宋体" w:eastAsia="宋体"/>
          <w:b/>
          <w:bCs/>
          <w:color w:val="auto"/>
          <w:sz w:val="24"/>
          <w:szCs w:val="18"/>
          <w:highlight w:val="none"/>
          <w:lang w:val="en-US" w:eastAsia="zh-CN"/>
        </w:rPr>
      </w:pPr>
      <w:bookmarkStart w:id="9" w:name="_Toc7421"/>
      <w:bookmarkStart w:id="10" w:name="_Toc13759"/>
      <w:bookmarkStart w:id="11" w:name="_Toc4843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eastAsia="zh-CN"/>
        </w:rPr>
        <w:t>（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val="en-US" w:eastAsia="zh-CN"/>
        </w:rPr>
        <w:t>一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eastAsia="zh-CN"/>
        </w:rPr>
        <w:t>）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val="en-US" w:eastAsia="zh-CN"/>
        </w:rPr>
        <w:t>主要标的物</w:t>
      </w:r>
    </w:p>
    <w:tbl>
      <w:tblPr>
        <w:tblStyle w:val="16"/>
        <w:tblW w:w="486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1" w:type="dxa"/>
          <w:bottom w:w="0" w:type="dxa"/>
          <w:right w:w="51" w:type="dxa"/>
        </w:tblCellMar>
      </w:tblPr>
      <w:tblGrid>
        <w:gridCol w:w="651"/>
        <w:gridCol w:w="1080"/>
        <w:gridCol w:w="3624"/>
        <w:gridCol w:w="975"/>
        <w:gridCol w:w="1214"/>
        <w:gridCol w:w="644"/>
      </w:tblGrid>
      <w:tr w14:paraId="5B023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jc w:val="center"/>
        </w:trPr>
        <w:tc>
          <w:tcPr>
            <w:tcW w:w="398" w:type="pct"/>
            <w:vAlign w:val="center"/>
          </w:tcPr>
          <w:p w14:paraId="42F07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序号</w:t>
            </w:r>
          </w:p>
        </w:tc>
        <w:tc>
          <w:tcPr>
            <w:tcW w:w="659" w:type="pct"/>
            <w:vAlign w:val="center"/>
          </w:tcPr>
          <w:p w14:paraId="47150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货物名称</w:t>
            </w:r>
          </w:p>
        </w:tc>
        <w:tc>
          <w:tcPr>
            <w:tcW w:w="2212" w:type="pct"/>
            <w:vAlign w:val="center"/>
          </w:tcPr>
          <w:p w14:paraId="1183F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技术参数及要求</w:t>
            </w:r>
          </w:p>
        </w:tc>
        <w:tc>
          <w:tcPr>
            <w:tcW w:w="595" w:type="pct"/>
            <w:vAlign w:val="center"/>
          </w:tcPr>
          <w:p w14:paraId="6D027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数量</w:t>
            </w:r>
          </w:p>
          <w:p w14:paraId="00796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（单位）</w:t>
            </w:r>
          </w:p>
        </w:tc>
        <w:tc>
          <w:tcPr>
            <w:tcW w:w="741" w:type="pct"/>
            <w:vAlign w:val="center"/>
          </w:tcPr>
          <w:p w14:paraId="5C34A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是否为核心产品</w:t>
            </w:r>
          </w:p>
        </w:tc>
        <w:tc>
          <w:tcPr>
            <w:tcW w:w="393" w:type="pct"/>
            <w:vAlign w:val="center"/>
          </w:tcPr>
          <w:p w14:paraId="19E61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备注</w:t>
            </w:r>
          </w:p>
        </w:tc>
      </w:tr>
      <w:tr w14:paraId="71D88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249" w:hRule="atLeast"/>
          <w:jc w:val="center"/>
        </w:trPr>
        <w:tc>
          <w:tcPr>
            <w:tcW w:w="398" w:type="pct"/>
            <w:vAlign w:val="center"/>
          </w:tcPr>
          <w:p w14:paraId="7D12D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szCs w:val="18"/>
                <w:highlight w:val="none"/>
              </w:rPr>
              <w:t>1</w:t>
            </w:r>
          </w:p>
        </w:tc>
        <w:tc>
          <w:tcPr>
            <w:tcW w:w="659" w:type="pct"/>
            <w:vAlign w:val="center"/>
          </w:tcPr>
          <w:p w14:paraId="58DE4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眼科前后节手术显微镜</w:t>
            </w:r>
          </w:p>
        </w:tc>
        <w:tc>
          <w:tcPr>
            <w:tcW w:w="2212" w:type="pct"/>
            <w:vAlign w:val="center"/>
          </w:tcPr>
          <w:p w14:paraId="523B9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■一、整体要求：满足眼科前后节手术需求；</w:t>
            </w:r>
          </w:p>
          <w:p w14:paraId="0ABF5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二、技术参数：</w:t>
            </w:r>
          </w:p>
          <w:p w14:paraId="09344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1.镜体：</w:t>
            </w:r>
          </w:p>
          <w:p w14:paraId="0B59D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★1.1 光学系统：全部复消色差光学系统（含物镜、变倍和放大系统）；</w:t>
            </w:r>
          </w:p>
          <w:p w14:paraId="63B7B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1.2 变倍系统：电动变倍系统，变倍比1：6；</w:t>
            </w:r>
          </w:p>
          <w:p w14:paraId="49FBF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1.3 放大倍数：4.5ⅹ-25.5ⅹ(10倍目镜／200毫米物镜时)；</w:t>
            </w:r>
          </w:p>
          <w:p w14:paraId="31293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★1.4 双目镜筒：0-180度倾角可调，带有内置倒像双目镜筒；</w:t>
            </w:r>
          </w:p>
          <w:p w14:paraId="28F91F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1.5 目镜：10ⅹ、12.5ⅹ，目镜屈光补偿：+5D到-8D，物镜：f=200毫米；</w:t>
            </w:r>
          </w:p>
          <w:p w14:paraId="52CD6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1.6 调焦范围：≥50mm；</w:t>
            </w:r>
          </w:p>
          <w:p w14:paraId="417D7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1.7 具有智能景深增强系统；</w:t>
            </w:r>
          </w:p>
          <w:p w14:paraId="68E7B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★1.8 助手镜：内置≥四光路助手镜，可独立调焦变倍，0°助手镜。</w:t>
            </w:r>
          </w:p>
          <w:p w14:paraId="2FAE0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2.XY水平移动：</w:t>
            </w:r>
          </w:p>
          <w:p w14:paraId="55235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★2.1平移范围：≥60mm×60mm；</w:t>
            </w:r>
          </w:p>
          <w:p w14:paraId="78A9D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2.2带有自动复位功能；</w:t>
            </w:r>
          </w:p>
          <w:p w14:paraId="70F62E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2.3具有智能待机功能。</w:t>
            </w:r>
          </w:p>
          <w:p w14:paraId="7A38B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3.照明系统：</w:t>
            </w:r>
          </w:p>
          <w:p w14:paraId="71614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★3.1具有立体同轴照明系统；</w:t>
            </w:r>
          </w:p>
          <w:p w14:paraId="7F1B6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3.2 卤素灯12V/100W，主备各1个；</w:t>
            </w:r>
          </w:p>
          <w:p w14:paraId="7C053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3.3 主备用灯泡具有完全自动切换功能；</w:t>
            </w:r>
          </w:p>
          <w:p w14:paraId="07B1B3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★3.4 照明方式：冷光源，通过光纤传导照明。</w:t>
            </w:r>
          </w:p>
          <w:p w14:paraId="1E0B6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■4.滤光片：</w:t>
            </w:r>
          </w:p>
          <w:p w14:paraId="396A1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4.1滤片：内置紫外线防护滤光片；</w:t>
            </w:r>
          </w:p>
          <w:p w14:paraId="4F5EA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4.2 视网膜保护装置：视网膜保护装置。</w:t>
            </w:r>
          </w:p>
          <w:p w14:paraId="209E8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5.控制单元：</w:t>
            </w:r>
          </w:p>
          <w:p w14:paraId="11DD94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5.1 控制面板：触摸屏显示面板；</w:t>
            </w:r>
          </w:p>
          <w:p w14:paraId="62583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5.2 用户参数设置：≥20组用户参数设置。具有亮度、变倍速度、变焦速度、XY平移速度、故障诊断码等参数显示；</w:t>
            </w:r>
          </w:p>
          <w:p w14:paraId="314A3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5.3 脚踏功能：全封闭防水、有线脚踏。</w:t>
            </w:r>
          </w:p>
          <w:p w14:paraId="2C162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6.支架系统：落地式支架，承重≥14Kg；</w:t>
            </w:r>
          </w:p>
          <w:p w14:paraId="5F502C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7.非接触广角镜：</w:t>
            </w:r>
          </w:p>
          <w:p w14:paraId="7EE46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■7.1 非接触广角镜系统为显微镜本厂产品；</w:t>
            </w:r>
          </w:p>
          <w:p w14:paraId="1D08E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7.2光学部分：全部光学采用复消色差技术，光学透镜表面采用抗反光多层镀膜，透镜部分采用非球面设计；</w:t>
            </w:r>
          </w:p>
          <w:p w14:paraId="003BF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★7.3 广角镜度数：</w:t>
            </w:r>
          </w:p>
          <w:p w14:paraId="24762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60D：主要用于观察眼后极部；</w:t>
            </w:r>
          </w:p>
          <w:p w14:paraId="04791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128D: 大范围视野，用于观察130°左右的眼底范围；</w:t>
            </w:r>
          </w:p>
          <w:p w14:paraId="120FBD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★7.4机械参数：内调焦设计，最大安全工作距离≥110mm（保证角膜到镜头的距离不变）广角镜镜托及支架部分角度可调：0°-360°。</w:t>
            </w:r>
          </w:p>
          <w:p w14:paraId="01B70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配备适配的后节高清摄录像系统：内存≥8GB，硬盘≥4T，显示屏≥24英寸，处理器：八核中央处理器。</w:t>
            </w:r>
          </w:p>
          <w:p w14:paraId="385A4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■8.配置清单：</w:t>
            </w:r>
          </w:p>
          <w:p w14:paraId="491B8C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1.显微镜主机 1台</w:t>
            </w:r>
          </w:p>
          <w:p w14:paraId="5568F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2.手动倒像主刀镜筒（0-180度倾角可调） 1套</w:t>
            </w:r>
          </w:p>
          <w:p w14:paraId="7DA10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3.12.5X广角插入式目镜x2 1套</w:t>
            </w:r>
          </w:p>
          <w:p w14:paraId="6E30F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4.整合式0度助手镜 1套</w:t>
            </w:r>
          </w:p>
          <w:p w14:paraId="6D971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5.10X广角插入式目镜x2（助手镜） 1套</w:t>
            </w:r>
          </w:p>
          <w:p w14:paraId="08CBC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6.物镜F=200mm•复消色差 1套</w:t>
            </w:r>
          </w:p>
          <w:p w14:paraId="5B3B7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7.落地式支架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  <w:p w14:paraId="1B15D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8.多功能有线脚踏 1只</w:t>
            </w:r>
          </w:p>
          <w:p w14:paraId="39E74E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9.非接触广角镜及安装组件 1套</w:t>
            </w:r>
          </w:p>
          <w:p w14:paraId="2E332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10.可消毒观察镜支架（工作距离f=200mm）1套</w:t>
            </w:r>
          </w:p>
          <w:p w14:paraId="356E5D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11.128D 非球面观察镜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 xml:space="preserve"> 1套</w:t>
            </w:r>
          </w:p>
          <w:p w14:paraId="4C4C7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13.60D 非球面观察镜 1套</w:t>
            </w:r>
          </w:p>
          <w:p w14:paraId="7DA70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14.可消毒金属盒和金属托盘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  <w:p w14:paraId="26C5F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15.22mm无菌防护帽，30只</w:t>
            </w:r>
          </w:p>
          <w:p w14:paraId="27A58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16.高清摄录像系统 1套</w:t>
            </w:r>
          </w:p>
          <w:p w14:paraId="0AF73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17.防尘罩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  <w:p w14:paraId="401A7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宋体" w:hAnsi="宋体" w:eastAsia="宋体"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18.标配UPS电源</w:t>
            </w:r>
          </w:p>
        </w:tc>
        <w:tc>
          <w:tcPr>
            <w:tcW w:w="595" w:type="pct"/>
            <w:vAlign w:val="center"/>
          </w:tcPr>
          <w:p w14:paraId="17882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</w:tc>
        <w:tc>
          <w:tcPr>
            <w:tcW w:w="741" w:type="pct"/>
            <w:vAlign w:val="center"/>
          </w:tcPr>
          <w:p w14:paraId="5BFD5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是</w:t>
            </w:r>
          </w:p>
        </w:tc>
        <w:tc>
          <w:tcPr>
            <w:tcW w:w="393" w:type="pct"/>
            <w:vAlign w:val="center"/>
          </w:tcPr>
          <w:p w14:paraId="713C5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 w:val="0"/>
                <w:color w:val="auto"/>
                <w:sz w:val="24"/>
                <w:szCs w:val="18"/>
                <w:highlight w:val="none"/>
                <w:lang w:val="en-US" w:eastAsia="zh-CN"/>
              </w:rPr>
              <w:t>眼科前后节手术显微镜允许进口产品投标,不限制满足招标文件要求的国内产品参与竞争。</w:t>
            </w:r>
          </w:p>
        </w:tc>
      </w:tr>
      <w:tr w14:paraId="61434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249" w:hRule="atLeast"/>
          <w:jc w:val="center"/>
        </w:trPr>
        <w:tc>
          <w:tcPr>
            <w:tcW w:w="398" w:type="pct"/>
            <w:vAlign w:val="center"/>
          </w:tcPr>
          <w:p w14:paraId="7BA4B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659" w:type="pct"/>
            <w:vAlign w:val="center"/>
          </w:tcPr>
          <w:p w14:paraId="760B0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眼科前节手术显微镜</w:t>
            </w:r>
          </w:p>
        </w:tc>
        <w:tc>
          <w:tcPr>
            <w:tcW w:w="2212" w:type="pct"/>
            <w:vAlign w:val="center"/>
          </w:tcPr>
          <w:p w14:paraId="273E0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■一、整体要求：满足眼科前节手术需求；</w:t>
            </w:r>
          </w:p>
          <w:p w14:paraId="33074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二、技术参数：</w:t>
            </w:r>
          </w:p>
          <w:p w14:paraId="71090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1.镜体：</w:t>
            </w:r>
          </w:p>
          <w:p w14:paraId="64105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★1.1光学系统；全部复消色差光学系统；</w:t>
            </w:r>
          </w:p>
          <w:p w14:paraId="1D9B9D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1.2 变倍系统：电动≥5档复消色差变倍器；</w:t>
            </w:r>
          </w:p>
          <w:p w14:paraId="79818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1.3 放大倍数：0.4 / 0.6 / 1.0 / 1.6 / 2.5，4.5x - 25.5x；</w:t>
            </w:r>
          </w:p>
          <w:p w14:paraId="46CAC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1.4 双目镜筒：45°倾斜镜筒，f = 170 mm；</w:t>
            </w:r>
          </w:p>
          <w:p w14:paraId="2B10F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1.5目镜：12.5ⅹ；</w:t>
            </w:r>
          </w:p>
          <w:p w14:paraId="60702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1.6 目镜屈光补偿：-5D 到+5D；</w:t>
            </w:r>
          </w:p>
          <w:p w14:paraId="299C5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1.7 物镜：F=200mm,复消色差光学；</w:t>
            </w:r>
          </w:p>
          <w:p w14:paraId="17D98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1.8 调焦：电动调焦，范围≥50mm；</w:t>
            </w:r>
          </w:p>
          <w:p w14:paraId="19E3F6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1.9 独立调焦变倍：45 度倾角 0 度助手镜，独立调焦、变倍助手镜系统。</w:t>
            </w:r>
          </w:p>
          <w:p w14:paraId="64C97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2.XY 水平移动：</w:t>
            </w:r>
          </w:p>
          <w:p w14:paraId="56BDC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2.1智能待机位置设计；显微镜进入待机位置，可自动关闭光源，重新进入工作位置可自动启动照明系统；</w:t>
            </w:r>
          </w:p>
          <w:p w14:paraId="581B8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★2.2平移范围：≥60mm×60mm，并具有自动复位功能。</w:t>
            </w:r>
          </w:p>
          <w:p w14:paraId="16687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■3.滤光片：</w:t>
            </w:r>
          </w:p>
          <w:p w14:paraId="048B2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3.1 视网膜保护滤光片（蓝光滤波片）；</w:t>
            </w:r>
          </w:p>
          <w:p w14:paraId="2955A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3.2 卤素灯-模式滤光片；</w:t>
            </w:r>
          </w:p>
          <w:p w14:paraId="1CEEF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3.3 CRI 滤光片；</w:t>
            </w:r>
          </w:p>
          <w:p w14:paraId="46A89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4.照明系统：</w:t>
            </w:r>
          </w:p>
          <w:p w14:paraId="1D979B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4.1LED照明光源；色温：约4500 K（± 500 K）</w:t>
            </w:r>
          </w:p>
          <w:p w14:paraId="7EC3C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4.2照明技术：2度照</w:t>
            </w:r>
            <w:bookmarkStart w:id="18" w:name="_GoBack"/>
            <w:bookmarkEnd w:id="18"/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明；提供高明亮、高对比的红光反射；6度照明，提供立体感的视野照明；</w:t>
            </w:r>
          </w:p>
          <w:p w14:paraId="4A6FD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4.3备用光源：≥4 组 LED 光源；</w:t>
            </w:r>
          </w:p>
          <w:p w14:paraId="13E7D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5.防水脚踏；</w:t>
            </w:r>
          </w:p>
          <w:p w14:paraId="03968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6.支架系统：落地式支架，承重≥8Kg；</w:t>
            </w:r>
          </w:p>
          <w:p w14:paraId="22EA6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■7.配置清单：</w:t>
            </w:r>
          </w:p>
          <w:p w14:paraId="443E8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1.显微镜主机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1台</w:t>
            </w:r>
          </w:p>
          <w:p w14:paraId="4AD94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2.显微镜支架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  <w:p w14:paraId="7DFB6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3.目镜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 xml:space="preserve"> 1套</w:t>
            </w:r>
          </w:p>
          <w:p w14:paraId="1F88A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4.物镜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 xml:space="preserve"> 1套</w:t>
            </w:r>
          </w:p>
          <w:p w14:paraId="15014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5.助手镜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  <w:p w14:paraId="5EBD2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6.防尘罩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  <w:p w14:paraId="42A57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7.消毒帽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  <w:p w14:paraId="7750A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8.运输箱</w:t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ab/>
            </w: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  <w:p w14:paraId="28038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9.标配UPS电源</w:t>
            </w:r>
          </w:p>
        </w:tc>
        <w:tc>
          <w:tcPr>
            <w:tcW w:w="595" w:type="pct"/>
            <w:vAlign w:val="center"/>
          </w:tcPr>
          <w:p w14:paraId="114A9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</w:tc>
        <w:tc>
          <w:tcPr>
            <w:tcW w:w="741" w:type="pct"/>
            <w:vAlign w:val="center"/>
          </w:tcPr>
          <w:p w14:paraId="0E2D1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否</w:t>
            </w:r>
          </w:p>
        </w:tc>
        <w:tc>
          <w:tcPr>
            <w:tcW w:w="393" w:type="pct"/>
            <w:vAlign w:val="center"/>
          </w:tcPr>
          <w:p w14:paraId="3F4E0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/>
                <w:bCs w:val="0"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 w:val="0"/>
                <w:color w:val="auto"/>
                <w:sz w:val="24"/>
                <w:szCs w:val="18"/>
                <w:highlight w:val="none"/>
                <w:lang w:val="en-US" w:eastAsia="zh-CN"/>
              </w:rPr>
              <w:t>/</w:t>
            </w:r>
          </w:p>
        </w:tc>
      </w:tr>
    </w:tbl>
    <w:p w14:paraId="58D03C34">
      <w:pPr>
        <w:spacing w:line="360" w:lineRule="auto"/>
        <w:ind w:firstLine="482" w:firstLineChars="200"/>
        <w:outlineLvl w:val="1"/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12" w:name="_Toc24469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三、报价要求</w:t>
      </w:r>
      <w:bookmarkEnd w:id="9"/>
      <w:bookmarkEnd w:id="10"/>
      <w:bookmarkEnd w:id="11"/>
      <w:bookmarkEnd w:id="12"/>
    </w:p>
    <w:p w14:paraId="206A6343">
      <w:pPr>
        <w:spacing w:line="360" w:lineRule="auto"/>
        <w:ind w:firstLine="437"/>
        <w:outlineLvl w:val="1"/>
        <w:rPr>
          <w:rFonts w:ascii="宋体" w:hAnsi="宋体" w:eastAsia="宋体"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  <w:lang w:val="en-US" w:eastAsia="zh-CN"/>
        </w:rPr>
        <w:t>本项目报总价，报价包含完成本项目所需的全部费用，中标后采购人不再另行追加任何费用。</w:t>
      </w:r>
    </w:p>
    <w:p w14:paraId="5705263E">
      <w:pPr>
        <w:spacing w:line="360" w:lineRule="auto"/>
        <w:ind w:firstLine="437"/>
        <w:outlineLvl w:val="1"/>
        <w:rPr>
          <w:rFonts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13" w:name="_Toc2674"/>
      <w:bookmarkStart w:id="14" w:name="_Toc14698"/>
      <w:bookmarkStart w:id="15" w:name="_Toc15293"/>
      <w:bookmarkStart w:id="16" w:name="_Toc22179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四、其他要求</w:t>
      </w:r>
      <w:bookmarkEnd w:id="13"/>
      <w:bookmarkEnd w:id="14"/>
      <w:bookmarkEnd w:id="15"/>
      <w:bookmarkEnd w:id="16"/>
    </w:p>
    <w:p w14:paraId="3F3BFAF9">
      <w:pPr>
        <w:ind w:firstLine="480" w:firstLineChars="200"/>
        <w:rPr>
          <w:rFonts w:hint="eastAsia" w:asciiTheme="minorEastAsia" w:hAnsiTheme="minorEastAsia" w:eastAsiaTheme="minorEastAsia"/>
          <w:b/>
          <w:color w:val="auto"/>
          <w:sz w:val="28"/>
          <w:highlight w:val="none"/>
        </w:rPr>
      </w:pP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</w:rPr>
        <w:t>易损件报价：</w:t>
      </w: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  <w:lang w:val="en-US" w:eastAsia="zh-CN"/>
        </w:rPr>
        <w:t>投标人须在投标文件中对下述易损件进行单独报价，</w:t>
      </w: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</w:rPr>
        <w:t>此项报价不作为本次评标依据，院方仅作参考，按需采购。</w:t>
      </w:r>
      <w:bookmarkStart w:id="17" w:name="_Toc6637"/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1913"/>
        <w:gridCol w:w="1287"/>
        <w:gridCol w:w="1250"/>
        <w:gridCol w:w="1138"/>
        <w:gridCol w:w="1225"/>
      </w:tblGrid>
      <w:tr w14:paraId="71B14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3C02763C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913" w:type="dxa"/>
          </w:tcPr>
          <w:p w14:paraId="36B7A446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单价限价</w:t>
            </w:r>
          </w:p>
        </w:tc>
        <w:tc>
          <w:tcPr>
            <w:tcW w:w="1287" w:type="dxa"/>
          </w:tcPr>
          <w:p w14:paraId="37B443C7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规格</w:t>
            </w:r>
          </w:p>
        </w:tc>
        <w:tc>
          <w:tcPr>
            <w:tcW w:w="1250" w:type="dxa"/>
          </w:tcPr>
          <w:p w14:paraId="52E15A92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产地</w:t>
            </w:r>
          </w:p>
        </w:tc>
        <w:tc>
          <w:tcPr>
            <w:tcW w:w="1138" w:type="dxa"/>
          </w:tcPr>
          <w:p w14:paraId="5A48CBA5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报价</w:t>
            </w:r>
          </w:p>
        </w:tc>
        <w:tc>
          <w:tcPr>
            <w:tcW w:w="1225" w:type="dxa"/>
          </w:tcPr>
          <w:p w14:paraId="2D5F0527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质保期</w:t>
            </w:r>
          </w:p>
        </w:tc>
      </w:tr>
      <w:tr w14:paraId="444DD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0B48E4A7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光源（灯）</w:t>
            </w:r>
          </w:p>
        </w:tc>
        <w:tc>
          <w:tcPr>
            <w:tcW w:w="1913" w:type="dxa"/>
          </w:tcPr>
          <w:p w14:paraId="4FE04198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5000.00元/颗</w:t>
            </w:r>
          </w:p>
        </w:tc>
        <w:tc>
          <w:tcPr>
            <w:tcW w:w="1287" w:type="dxa"/>
          </w:tcPr>
          <w:p w14:paraId="13CE282B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1250" w:type="dxa"/>
          </w:tcPr>
          <w:p w14:paraId="3147826E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1138" w:type="dxa"/>
          </w:tcPr>
          <w:p w14:paraId="38DEE983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1225" w:type="dxa"/>
          </w:tcPr>
          <w:p w14:paraId="53AF0A61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</w:tr>
      <w:bookmarkEnd w:id="17"/>
    </w:tbl>
    <w:p w14:paraId="0383FA60">
      <w:pPr>
        <w:rPr>
          <w:color w:val="auto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0C437832-F8CF-4E4C-A9E7-7DC24EA6FF85}"/>
  </w:font>
  <w:font w:name="WPSEMBED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C5DB47">
    <w:pPr>
      <w:pStyle w:val="9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4C6BB6">
                          <w:pPr>
                            <w:pStyle w:val="9"/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>55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 xml:space="preserve"> 页 共 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>64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4C6BB6">
                    <w:pPr>
                      <w:pStyle w:val="9"/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 xml:space="preserve">第 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>55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 xml:space="preserve"> 页 共 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instrText xml:space="preserve"> NUMPAGES  \* MERGEFORMAT </w:instrTex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>64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64932"/>
    <w:rsid w:val="029600E7"/>
    <w:rsid w:val="03857186"/>
    <w:rsid w:val="03947506"/>
    <w:rsid w:val="03B20F8C"/>
    <w:rsid w:val="03C52BEB"/>
    <w:rsid w:val="04DF5F2E"/>
    <w:rsid w:val="04EC4052"/>
    <w:rsid w:val="051A0B8C"/>
    <w:rsid w:val="053A55E5"/>
    <w:rsid w:val="069450BE"/>
    <w:rsid w:val="06A24B22"/>
    <w:rsid w:val="07027CB2"/>
    <w:rsid w:val="070F453B"/>
    <w:rsid w:val="0784259B"/>
    <w:rsid w:val="080D5F22"/>
    <w:rsid w:val="085E7AE4"/>
    <w:rsid w:val="08B576D2"/>
    <w:rsid w:val="09B30627"/>
    <w:rsid w:val="0DC30290"/>
    <w:rsid w:val="0E651252"/>
    <w:rsid w:val="0FEC0996"/>
    <w:rsid w:val="10716D15"/>
    <w:rsid w:val="10942807"/>
    <w:rsid w:val="11BC108F"/>
    <w:rsid w:val="126526E0"/>
    <w:rsid w:val="131B2827"/>
    <w:rsid w:val="13FF6AFE"/>
    <w:rsid w:val="14586E5C"/>
    <w:rsid w:val="14BC77B5"/>
    <w:rsid w:val="156264EB"/>
    <w:rsid w:val="157A2AC8"/>
    <w:rsid w:val="15A6310B"/>
    <w:rsid w:val="15C600ED"/>
    <w:rsid w:val="170821EC"/>
    <w:rsid w:val="174C7453"/>
    <w:rsid w:val="17570325"/>
    <w:rsid w:val="1787593B"/>
    <w:rsid w:val="17BB1EE3"/>
    <w:rsid w:val="17EF2A66"/>
    <w:rsid w:val="1AE67F2F"/>
    <w:rsid w:val="1B5D7A9A"/>
    <w:rsid w:val="1C097164"/>
    <w:rsid w:val="1CA27B15"/>
    <w:rsid w:val="1D341B78"/>
    <w:rsid w:val="1E1C6435"/>
    <w:rsid w:val="1E42686A"/>
    <w:rsid w:val="1EB45B8F"/>
    <w:rsid w:val="1F1E63E2"/>
    <w:rsid w:val="1FA616CA"/>
    <w:rsid w:val="21325CB9"/>
    <w:rsid w:val="220A4192"/>
    <w:rsid w:val="231A0405"/>
    <w:rsid w:val="24020572"/>
    <w:rsid w:val="242B6A8C"/>
    <w:rsid w:val="272D245F"/>
    <w:rsid w:val="27A82ADE"/>
    <w:rsid w:val="282D5606"/>
    <w:rsid w:val="284C7D86"/>
    <w:rsid w:val="289F44B2"/>
    <w:rsid w:val="293335D4"/>
    <w:rsid w:val="2AE905B1"/>
    <w:rsid w:val="2C865653"/>
    <w:rsid w:val="2CB260C8"/>
    <w:rsid w:val="2D9F3FD8"/>
    <w:rsid w:val="2E1168A9"/>
    <w:rsid w:val="2E271C28"/>
    <w:rsid w:val="2E3464A7"/>
    <w:rsid w:val="2EE34559"/>
    <w:rsid w:val="2F325535"/>
    <w:rsid w:val="30E8664A"/>
    <w:rsid w:val="32555C7F"/>
    <w:rsid w:val="32E60A1F"/>
    <w:rsid w:val="33D73BEC"/>
    <w:rsid w:val="34A9783B"/>
    <w:rsid w:val="34BF3B16"/>
    <w:rsid w:val="35D16C04"/>
    <w:rsid w:val="3646224F"/>
    <w:rsid w:val="36ED7694"/>
    <w:rsid w:val="372426E1"/>
    <w:rsid w:val="373F5E02"/>
    <w:rsid w:val="389143F1"/>
    <w:rsid w:val="38D03804"/>
    <w:rsid w:val="398947E7"/>
    <w:rsid w:val="3AA91A18"/>
    <w:rsid w:val="3C28346E"/>
    <w:rsid w:val="3C842B2E"/>
    <w:rsid w:val="3E650793"/>
    <w:rsid w:val="3F09713A"/>
    <w:rsid w:val="3F13053D"/>
    <w:rsid w:val="3F713F07"/>
    <w:rsid w:val="4030282F"/>
    <w:rsid w:val="40DC2D46"/>
    <w:rsid w:val="40F00853"/>
    <w:rsid w:val="45F97EF6"/>
    <w:rsid w:val="461D2DB1"/>
    <w:rsid w:val="46B00728"/>
    <w:rsid w:val="47AF2F63"/>
    <w:rsid w:val="47C32540"/>
    <w:rsid w:val="49016A01"/>
    <w:rsid w:val="49762406"/>
    <w:rsid w:val="499810E4"/>
    <w:rsid w:val="4A437992"/>
    <w:rsid w:val="4B0D743B"/>
    <w:rsid w:val="4C286E40"/>
    <w:rsid w:val="4DE21AEF"/>
    <w:rsid w:val="4E17716C"/>
    <w:rsid w:val="4E1F2D0D"/>
    <w:rsid w:val="50B060E2"/>
    <w:rsid w:val="50E377D9"/>
    <w:rsid w:val="512A365A"/>
    <w:rsid w:val="52E3552E"/>
    <w:rsid w:val="53B16803"/>
    <w:rsid w:val="53D50EE9"/>
    <w:rsid w:val="555750DB"/>
    <w:rsid w:val="555D3FFE"/>
    <w:rsid w:val="564550D4"/>
    <w:rsid w:val="569248A8"/>
    <w:rsid w:val="57E161AD"/>
    <w:rsid w:val="5884755E"/>
    <w:rsid w:val="59D92638"/>
    <w:rsid w:val="59DE7BCE"/>
    <w:rsid w:val="59E00D5A"/>
    <w:rsid w:val="5B3E50F4"/>
    <w:rsid w:val="5B4A57FD"/>
    <w:rsid w:val="5B647768"/>
    <w:rsid w:val="5B835BCD"/>
    <w:rsid w:val="5B8F0C89"/>
    <w:rsid w:val="5BBD4260"/>
    <w:rsid w:val="5CEE7AF4"/>
    <w:rsid w:val="5FF95DDF"/>
    <w:rsid w:val="607501E3"/>
    <w:rsid w:val="60A90206"/>
    <w:rsid w:val="614D65A2"/>
    <w:rsid w:val="627310D2"/>
    <w:rsid w:val="6509375E"/>
    <w:rsid w:val="65DD0C9E"/>
    <w:rsid w:val="66046FC5"/>
    <w:rsid w:val="674913F9"/>
    <w:rsid w:val="692F54EF"/>
    <w:rsid w:val="695B0530"/>
    <w:rsid w:val="699634EB"/>
    <w:rsid w:val="69A82ABF"/>
    <w:rsid w:val="6D434614"/>
    <w:rsid w:val="6D806684"/>
    <w:rsid w:val="6DA07690"/>
    <w:rsid w:val="6E277D22"/>
    <w:rsid w:val="6FA5482C"/>
    <w:rsid w:val="6FF402DF"/>
    <w:rsid w:val="702D0EC6"/>
    <w:rsid w:val="708010DE"/>
    <w:rsid w:val="709D1CA5"/>
    <w:rsid w:val="70D43718"/>
    <w:rsid w:val="719B1193"/>
    <w:rsid w:val="71AF5789"/>
    <w:rsid w:val="71D7083C"/>
    <w:rsid w:val="72F57205"/>
    <w:rsid w:val="72FC7B32"/>
    <w:rsid w:val="733C379D"/>
    <w:rsid w:val="73976F4C"/>
    <w:rsid w:val="73986AB4"/>
    <w:rsid w:val="7789082B"/>
    <w:rsid w:val="782257CD"/>
    <w:rsid w:val="784F274B"/>
    <w:rsid w:val="787943FB"/>
    <w:rsid w:val="78C06F85"/>
    <w:rsid w:val="79086C1D"/>
    <w:rsid w:val="7A2E1714"/>
    <w:rsid w:val="7A4E42C3"/>
    <w:rsid w:val="7C921F30"/>
    <w:rsid w:val="7CCF6CE0"/>
    <w:rsid w:val="7D3B25C7"/>
    <w:rsid w:val="7DBA7990"/>
    <w:rsid w:val="7DF2712A"/>
    <w:rsid w:val="7EC81A75"/>
    <w:rsid w:val="7FC9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ind w:firstLine="628"/>
      <w:jc w:val="center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  <w:rPr>
      <w:rFonts w:ascii="Arial" w:hAnsi="Arial" w:eastAsia="黑体" w:cs="Arial"/>
    </w:rPr>
  </w:style>
  <w:style w:type="paragraph" w:styleId="5">
    <w:name w:val="Body Text"/>
    <w:basedOn w:val="1"/>
    <w:next w:val="6"/>
    <w:qFormat/>
    <w:uiPriority w:val="0"/>
    <w:pPr>
      <w:spacing w:after="120"/>
    </w:pPr>
    <w:rPr>
      <w:rFonts w:ascii="@微软简标宋" w:hAnsi="@微软简标宋" w:eastAsia="@微软简标宋" w:cs="@微软简标宋"/>
      <w:szCs w:val="24"/>
      <w:lang w:val="zh-CN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kern w:val="0"/>
      <w:sz w:val="20"/>
      <w:szCs w:val="20"/>
      <w:lang w:val="en-US" w:eastAsia="zh-CN" w:bidi="ar-SA"/>
    </w:rPr>
  </w:style>
  <w:style w:type="paragraph" w:styleId="7">
    <w:name w:val="Plain Text"/>
    <w:basedOn w:val="1"/>
    <w:qFormat/>
    <w:uiPriority w:val="99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qFormat/>
    <w:uiPriority w:val="0"/>
    <w:rPr>
      <w:rFonts w:ascii="Arial" w:hAnsi="Arial" w:eastAsia="宋体" w:cs="Arial"/>
      <w:b/>
      <w:sz w:val="28"/>
    </w:rPr>
  </w:style>
  <w:style w:type="paragraph" w:styleId="9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12">
    <w:name w:val="toc 2"/>
    <w:basedOn w:val="1"/>
    <w:next w:val="1"/>
    <w:qFormat/>
    <w:uiPriority w:val="0"/>
    <w:pPr>
      <w:ind w:left="420" w:leftChars="200"/>
    </w:p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styleId="14">
    <w:name w:val="index 1"/>
    <w:basedOn w:val="1"/>
    <w:next w:val="1"/>
    <w:qFormat/>
    <w:uiPriority w:val="0"/>
    <w:pPr>
      <w:jc w:val="center"/>
    </w:pPr>
    <w:rPr>
      <w:rFonts w:ascii="Arial" w:hAnsi="Arial" w:eastAsia="Arial" w:cs="Arial"/>
      <w:b/>
      <w:bCs/>
      <w:sz w:val="28"/>
    </w:rPr>
  </w:style>
  <w:style w:type="paragraph" w:styleId="15">
    <w:name w:val="Body Text First Indent"/>
    <w:basedOn w:val="5"/>
    <w:unhideWhenUsed/>
    <w:qFormat/>
    <w:uiPriority w:val="99"/>
    <w:pPr>
      <w:ind w:firstLine="420" w:firstLineChars="100"/>
    </w:pPr>
  </w:style>
  <w:style w:type="table" w:styleId="17">
    <w:name w:val="Table Grid"/>
    <w:basedOn w:val="16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FollowedHyperlink"/>
    <w:basedOn w:val="18"/>
    <w:qFormat/>
    <w:uiPriority w:val="0"/>
    <w:rPr>
      <w:color w:val="800080"/>
      <w:u w:val="none"/>
    </w:rPr>
  </w:style>
  <w:style w:type="character" w:styleId="20">
    <w:name w:val="Emphasis"/>
    <w:basedOn w:val="18"/>
    <w:qFormat/>
    <w:uiPriority w:val="0"/>
    <w:rPr>
      <w:i/>
    </w:rPr>
  </w:style>
  <w:style w:type="character" w:styleId="21">
    <w:name w:val="HTML Definition"/>
    <w:basedOn w:val="18"/>
    <w:qFormat/>
    <w:uiPriority w:val="0"/>
  </w:style>
  <w:style w:type="character" w:styleId="22">
    <w:name w:val="HTML Typewriter"/>
    <w:basedOn w:val="18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Acronym"/>
    <w:basedOn w:val="18"/>
    <w:qFormat/>
    <w:uiPriority w:val="0"/>
  </w:style>
  <w:style w:type="character" w:styleId="24">
    <w:name w:val="HTML Variable"/>
    <w:basedOn w:val="18"/>
    <w:qFormat/>
    <w:uiPriority w:val="0"/>
  </w:style>
  <w:style w:type="character" w:styleId="25">
    <w:name w:val="Hyperlink"/>
    <w:basedOn w:val="18"/>
    <w:qFormat/>
    <w:uiPriority w:val="0"/>
    <w:rPr>
      <w:color w:val="0000FF"/>
      <w:u w:val="none"/>
    </w:rPr>
  </w:style>
  <w:style w:type="character" w:styleId="26">
    <w:name w:val="HTML Code"/>
    <w:basedOn w:val="18"/>
    <w:qFormat/>
    <w:uiPriority w:val="0"/>
    <w:rPr>
      <w:rFonts w:hint="default" w:ascii="monospace" w:hAnsi="monospace" w:eastAsia="monospace" w:cs="monospace"/>
      <w:sz w:val="20"/>
    </w:rPr>
  </w:style>
  <w:style w:type="character" w:styleId="27">
    <w:name w:val="HTML Cite"/>
    <w:basedOn w:val="18"/>
    <w:qFormat/>
    <w:uiPriority w:val="0"/>
  </w:style>
  <w:style w:type="character" w:styleId="28">
    <w:name w:val="HTML Keyboard"/>
    <w:basedOn w:val="18"/>
    <w:qFormat/>
    <w:uiPriority w:val="0"/>
    <w:rPr>
      <w:rFonts w:ascii="monospace" w:hAnsi="monospace" w:eastAsia="monospace" w:cs="monospace"/>
      <w:sz w:val="20"/>
    </w:rPr>
  </w:style>
  <w:style w:type="character" w:styleId="29">
    <w:name w:val="HTML Sample"/>
    <w:basedOn w:val="18"/>
    <w:qFormat/>
    <w:uiPriority w:val="0"/>
    <w:rPr>
      <w:rFonts w:hint="default" w:ascii="monospace" w:hAnsi="monospace" w:eastAsia="monospace" w:cs="monospace"/>
    </w:rPr>
  </w:style>
  <w:style w:type="paragraph" w:customStyle="1" w:styleId="30">
    <w:name w:val="样式1"/>
    <w:basedOn w:val="1"/>
    <w:qFormat/>
    <w:uiPriority w:val="0"/>
    <w:pPr>
      <w:spacing w:before="75" w:line="277" w:lineRule="auto"/>
      <w:ind w:left="130" w:right="-9" w:firstLine="478"/>
    </w:pPr>
    <w:rPr>
      <w:rFonts w:ascii="宋体" w:hAnsi="宋体" w:eastAsia="宋体" w:cs="宋体"/>
      <w:snapToGrid w:val="0"/>
      <w:color w:val="000000"/>
      <w:spacing w:val="-1"/>
      <w:kern w:val="0"/>
      <w:sz w:val="24"/>
      <w:szCs w:val="24"/>
    </w:rPr>
  </w:style>
  <w:style w:type="paragraph" w:customStyle="1" w:styleId="31">
    <w:name w:val="xl31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32">
    <w:name w:val="D&amp;L"/>
    <w:basedOn w:val="10"/>
    <w:autoRedefine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table" w:customStyle="1" w:styleId="33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4">
    <w:name w:val="Char Char Char Char Char Char Char1 Char"/>
    <w:basedOn w:val="1"/>
    <w:autoRedefine/>
    <w:qFormat/>
    <w:uiPriority w:val="0"/>
    <w:rPr>
      <w:rFonts w:ascii="Arial" w:hAnsi="Arial" w:eastAsia="宋体" w:cs="Arial"/>
      <w:sz w:val="24"/>
    </w:rPr>
  </w:style>
  <w:style w:type="paragraph" w:customStyle="1" w:styleId="35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customStyle="1" w:styleId="36">
    <w:name w:val="hover5"/>
    <w:basedOn w:val="18"/>
    <w:qFormat/>
    <w:uiPriority w:val="0"/>
    <w:rPr>
      <w:u w:val="single"/>
    </w:rPr>
  </w:style>
  <w:style w:type="character" w:customStyle="1" w:styleId="37">
    <w:name w:val="first-child"/>
    <w:basedOn w:val="18"/>
    <w:qFormat/>
    <w:uiPriority w:val="0"/>
  </w:style>
  <w:style w:type="character" w:customStyle="1" w:styleId="38">
    <w:name w:val="layui-this"/>
    <w:basedOn w:val="18"/>
    <w:qFormat/>
    <w:uiPriority w:val="0"/>
    <w:rPr>
      <w:bdr w:val="single" w:color="EEEEEE" w:sz="6" w:space="0"/>
      <w:shd w:val="clear" w:fill="FFFFFF"/>
    </w:rPr>
  </w:style>
  <w:style w:type="character" w:customStyle="1" w:styleId="39">
    <w:name w:val="first-child2"/>
    <w:basedOn w:val="18"/>
    <w:qFormat/>
    <w:uiPriority w:val="0"/>
  </w:style>
  <w:style w:type="paragraph" w:customStyle="1" w:styleId="40">
    <w:name w:val="style4"/>
    <w:next w:val="41"/>
    <w:qFormat/>
    <w:uiPriority w:val="0"/>
    <w:pPr>
      <w:widowControl/>
      <w:spacing w:before="280" w:after="280"/>
      <w:jc w:val="both"/>
    </w:pPr>
    <w:rPr>
      <w:rFonts w:ascii="宋体" w:hAnsi="Times New Roman" w:eastAsia="宋体" w:cs="Times New Roman"/>
      <w:kern w:val="2"/>
      <w:sz w:val="18"/>
      <w:szCs w:val="24"/>
      <w:lang w:val="en-US" w:eastAsia="zh-CN" w:bidi="ar-SA"/>
    </w:rPr>
  </w:style>
  <w:style w:type="paragraph" w:customStyle="1" w:styleId="41">
    <w:name w:val="2"/>
    <w:next w:val="1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10539</Words>
  <Characters>11597</Characters>
  <Lines>0</Lines>
  <Paragraphs>0</Paragraphs>
  <TotalTime>1</TotalTime>
  <ScaleCrop>false</ScaleCrop>
  <LinksUpToDate>false</LinksUpToDate>
  <CharactersWithSpaces>11736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2023-12-20T04:08:00Z</dcterms:created>
  <dc:creator>Administrator</dc:creator>
  <cp:lastModifiedBy>ASUS</cp:lastModifiedBy>
  <dcterms:modified xsi:type="dcterms:W3CDTF">2026-09-01T01:37:38Z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CF4381E94AE44618B623B00D915674B6_13</vt:lpwstr>
  </property>
  <property fmtid="{D5CDD505-2E9C-101B-9397-08002B2CF9AE}" pid="4" name="KSOTemplateDocerSaveRecord">
    <vt:lpwstr>eyJoZGlkIjoiYjJjOTQxYzhjODMyMDAzZmE0MDJkMWFkNmJlNDkwYTUiLCJ1c2VySWQiOiIyNTYzODM1NTMifQ==</vt:lpwstr>
  </property>
</Properties>
</file>