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490B968">
      <w:pPr>
        <w:numPr>
          <w:ilvl w:val="255"/>
          <w:numId w:val="0"/>
        </w:numPr>
        <w:spacing w:before="120" w:beforeLines="50" w:after="120" w:afterLines="50" w:line="560" w:lineRule="exact"/>
        <w:jc w:val="center"/>
        <w:rPr>
          <w:rStyle w:val="6"/>
          <w:rFonts w:ascii="宋体" w:hAnsi="宋体" w:eastAsia="宋体" w:cs="宋体"/>
          <w:color w:val="auto"/>
          <w:sz w:val="24"/>
          <w:szCs w:val="24"/>
          <w:highlight w:val="none"/>
        </w:rPr>
      </w:pPr>
      <w:r>
        <w:rPr>
          <w:rStyle w:val="6"/>
          <w:rFonts w:hint="eastAsia" w:ascii="宋体" w:hAnsi="宋体" w:eastAsia="宋体" w:cs="宋体"/>
          <w:color w:val="auto"/>
          <w:sz w:val="32"/>
          <w:szCs w:val="32"/>
          <w:highlight w:val="none"/>
        </w:rPr>
        <w:t>采购需求</w:t>
      </w:r>
    </w:p>
    <w:p w14:paraId="45ECA4CD">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left"/>
        <w:textAlignment w:val="auto"/>
        <w:outlineLvl w:val="9"/>
        <w:rPr>
          <w:rFonts w:hint="default" w:ascii="仿宋_GB2312" w:hAnsi="仿宋_GB2312" w:eastAsia="仿宋_GB2312" w:cs="仿宋_GB2312"/>
          <w:b/>
          <w:bCs/>
          <w:sz w:val="24"/>
          <w:szCs w:val="24"/>
          <w:lang w:val="en-US" w:eastAsia="zh-CN"/>
        </w:rPr>
      </w:pPr>
      <w:r>
        <w:rPr>
          <w:rFonts w:hint="eastAsia" w:ascii="宋体" w:hAnsi="宋体" w:eastAsia="宋体" w:cs="宋体"/>
          <w:b/>
          <w:bCs/>
          <w:sz w:val="24"/>
          <w:szCs w:val="24"/>
          <w:lang w:val="en-US" w:eastAsia="zh-CN"/>
        </w:rPr>
        <w:t>一、采购清单：</w:t>
      </w:r>
    </w:p>
    <w:tbl>
      <w:tblPr>
        <w:tblStyle w:val="4"/>
        <w:tblW w:w="852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63"/>
        <w:gridCol w:w="2668"/>
        <w:gridCol w:w="725"/>
        <w:gridCol w:w="807"/>
        <w:gridCol w:w="2038"/>
        <w:gridCol w:w="1421"/>
      </w:tblGrid>
      <w:tr w14:paraId="1956EA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3" w:type="dxa"/>
            <w:vAlign w:val="center"/>
          </w:tcPr>
          <w:p w14:paraId="3AC85F5F">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序号</w:t>
            </w:r>
          </w:p>
        </w:tc>
        <w:tc>
          <w:tcPr>
            <w:tcW w:w="2668" w:type="dxa"/>
            <w:vAlign w:val="center"/>
          </w:tcPr>
          <w:p w14:paraId="43F4A89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产品名称</w:t>
            </w:r>
          </w:p>
        </w:tc>
        <w:tc>
          <w:tcPr>
            <w:tcW w:w="725" w:type="dxa"/>
            <w:vAlign w:val="center"/>
          </w:tcPr>
          <w:p w14:paraId="680E7707">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数量</w:t>
            </w:r>
          </w:p>
        </w:tc>
        <w:tc>
          <w:tcPr>
            <w:tcW w:w="807" w:type="dxa"/>
            <w:vAlign w:val="center"/>
          </w:tcPr>
          <w:p w14:paraId="5440B7BE">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单位</w:t>
            </w:r>
          </w:p>
        </w:tc>
        <w:tc>
          <w:tcPr>
            <w:tcW w:w="2038" w:type="dxa"/>
            <w:vAlign w:val="center"/>
          </w:tcPr>
          <w:p w14:paraId="21BDA05C">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限价（万元/台）</w:t>
            </w:r>
          </w:p>
        </w:tc>
        <w:tc>
          <w:tcPr>
            <w:tcW w:w="1421" w:type="dxa"/>
            <w:vAlign w:val="center"/>
          </w:tcPr>
          <w:p w14:paraId="3DD1ED9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备注</w:t>
            </w:r>
          </w:p>
        </w:tc>
      </w:tr>
      <w:tr w14:paraId="503B17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63" w:type="dxa"/>
            <w:vAlign w:val="center"/>
          </w:tcPr>
          <w:p w14:paraId="12D60C34">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2668" w:type="dxa"/>
            <w:vAlign w:val="center"/>
          </w:tcPr>
          <w:p w14:paraId="798B7C45">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color w:val="auto"/>
                <w:sz w:val="24"/>
                <w:szCs w:val="24"/>
                <w:lang w:val="en-US" w:eastAsia="zh-CN"/>
              </w:rPr>
              <w:t>奥林巴斯电切镜头</w:t>
            </w:r>
          </w:p>
        </w:tc>
        <w:tc>
          <w:tcPr>
            <w:tcW w:w="725" w:type="dxa"/>
            <w:vAlign w:val="center"/>
          </w:tcPr>
          <w:p w14:paraId="715C44E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w:t>
            </w:r>
          </w:p>
        </w:tc>
        <w:tc>
          <w:tcPr>
            <w:tcW w:w="807" w:type="dxa"/>
            <w:vAlign w:val="center"/>
          </w:tcPr>
          <w:p w14:paraId="1C56BA08">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支</w:t>
            </w:r>
          </w:p>
        </w:tc>
        <w:tc>
          <w:tcPr>
            <w:tcW w:w="2038" w:type="dxa"/>
            <w:vAlign w:val="center"/>
          </w:tcPr>
          <w:p w14:paraId="528D29A0">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10</w:t>
            </w:r>
          </w:p>
        </w:tc>
        <w:tc>
          <w:tcPr>
            <w:tcW w:w="1421" w:type="dxa"/>
            <w:vAlign w:val="center"/>
          </w:tcPr>
          <w:p w14:paraId="44932EFA">
            <w:pPr>
              <w:keepNext w:val="0"/>
              <w:keepLines w:val="0"/>
              <w:pageBreakBefore w:val="0"/>
              <w:widowControl w:val="0"/>
              <w:kinsoku/>
              <w:wordWrap/>
              <w:overflowPunct/>
              <w:topLinePunct w:val="0"/>
              <w:autoSpaceDE/>
              <w:autoSpaceDN/>
              <w:bidi w:val="0"/>
              <w:adjustRightInd/>
              <w:snapToGrid/>
              <w:spacing w:line="500" w:lineRule="exact"/>
              <w:ind w:right="0" w:rightChars="0"/>
              <w:jc w:val="center"/>
              <w:textAlignment w:val="auto"/>
              <w:outlineLvl w:val="9"/>
              <w:rPr>
                <w:rFonts w:hint="eastAsia" w:ascii="宋体" w:hAnsi="宋体" w:eastAsia="宋体" w:cs="宋体"/>
                <w:b w:val="0"/>
                <w:bCs w:val="0"/>
                <w:sz w:val="24"/>
                <w:szCs w:val="24"/>
                <w:vertAlign w:val="baseline"/>
                <w:lang w:val="en-US" w:eastAsia="zh-CN"/>
              </w:rPr>
            </w:pPr>
          </w:p>
        </w:tc>
      </w:tr>
    </w:tbl>
    <w:p w14:paraId="6D780F4A">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仿宋_GB2312" w:hAnsi="仿宋_GB2312" w:eastAsia="仿宋_GB2312" w:cs="仿宋_GB2312"/>
          <w:b/>
          <w:bCs/>
          <w:sz w:val="24"/>
          <w:szCs w:val="24"/>
          <w:lang w:val="en-US" w:eastAsia="zh-CN"/>
        </w:rPr>
      </w:pPr>
    </w:p>
    <w:p w14:paraId="373C3988">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仿宋_GB2312" w:hAnsi="仿宋_GB2312" w:eastAsia="仿宋_GB2312" w:cs="仿宋_GB2312"/>
          <w:b w:val="0"/>
          <w:bCs w:val="0"/>
          <w:sz w:val="24"/>
          <w:szCs w:val="24"/>
          <w:lang w:val="en-US" w:eastAsia="zh-CN"/>
        </w:rPr>
      </w:pPr>
      <w:r>
        <w:rPr>
          <w:rFonts w:hint="eastAsia" w:ascii="宋体" w:hAnsi="宋体" w:eastAsia="宋体" w:cs="宋体"/>
          <w:b/>
          <w:bCs/>
          <w:sz w:val="24"/>
          <w:szCs w:val="24"/>
          <w:lang w:val="en-US" w:eastAsia="zh-CN"/>
        </w:rPr>
        <w:t>二、技术参数</w:t>
      </w:r>
      <w:r>
        <w:rPr>
          <w:rFonts w:hint="eastAsia" w:ascii="仿宋_GB2312" w:hAnsi="仿宋_GB2312" w:eastAsia="仿宋_GB2312" w:cs="仿宋_GB2312"/>
          <w:b/>
          <w:bCs/>
          <w:sz w:val="24"/>
          <w:szCs w:val="24"/>
          <w:lang w:val="en-US" w:eastAsia="zh-CN"/>
        </w:rPr>
        <w:t>：</w:t>
      </w:r>
    </w:p>
    <w:p w14:paraId="5B85E5FF">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center"/>
        <w:textAlignment w:val="auto"/>
        <w:outlineLvl w:val="9"/>
        <w:rPr>
          <w:rFonts w:hint="eastAsia" w:ascii="仿宋_GB2312" w:hAnsi="仿宋_GB2312" w:eastAsia="仿宋_GB2312" w:cs="仿宋_GB2312"/>
          <w:b/>
          <w:bCs/>
          <w:color w:val="auto"/>
          <w:sz w:val="28"/>
          <w:szCs w:val="28"/>
          <w:lang w:val="en-US" w:eastAsia="zh-CN"/>
        </w:rPr>
      </w:pPr>
      <w:r>
        <w:rPr>
          <w:rFonts w:hint="eastAsia" w:ascii="仿宋_GB2312" w:hAnsi="仿宋_GB2312" w:eastAsia="仿宋_GB2312" w:cs="仿宋_GB2312"/>
          <w:b/>
          <w:bCs/>
          <w:color w:val="auto"/>
          <w:sz w:val="28"/>
          <w:szCs w:val="28"/>
          <w:lang w:val="en-US" w:eastAsia="zh-CN"/>
        </w:rPr>
        <w:t>奥林巴斯电切镜头</w:t>
      </w:r>
    </w:p>
    <w:p w14:paraId="43C37DB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1.型号：WA2T430A</w:t>
      </w:r>
    </w:p>
    <w:p w14:paraId="008D2E3C">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2.视向角30°，直径4mm；</w:t>
      </w:r>
    </w:p>
    <w:p w14:paraId="07E4CEA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3.视场角60°，分辨率≥9.36（lp/mm）；</w:t>
      </w:r>
    </w:p>
    <w:p w14:paraId="547DB5B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4.视场中心角分辨力 （C/(°)）≥3.53；</w:t>
      </w:r>
    </w:p>
    <w:p w14:paraId="41261529">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5.有效景深：7-150mm；</w:t>
      </w:r>
    </w:p>
    <w:p w14:paraId="7D1A9EE1">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6.在 A 标准照明体下的显色指数 Ra≥80；</w:t>
      </w:r>
    </w:p>
    <w:p w14:paraId="0470831F">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eastAsia"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7.可高温高压消毒；</w:t>
      </w:r>
    </w:p>
    <w:p w14:paraId="2A802B93">
      <w:pPr>
        <w:keepNext w:val="0"/>
        <w:keepLines w:val="0"/>
        <w:pageBreakBefore w:val="0"/>
        <w:widowControl/>
        <w:suppressLineNumbers w:val="0"/>
        <w:kinsoku/>
        <w:wordWrap/>
        <w:overflowPunct/>
        <w:topLinePunct w:val="0"/>
        <w:autoSpaceDE/>
        <w:autoSpaceDN/>
        <w:bidi w:val="0"/>
        <w:adjustRightInd/>
        <w:snapToGrid/>
        <w:ind w:firstLine="560" w:firstLineChars="200"/>
        <w:jc w:val="left"/>
        <w:textAlignment w:val="auto"/>
        <w:rPr>
          <w:rFonts w:hint="default" w:ascii="仿宋_GB2312" w:hAnsi="仿宋_GB2312" w:eastAsia="仿宋_GB2312" w:cs="仿宋_GB2312"/>
          <w:b w:val="0"/>
          <w:bCs w:val="0"/>
          <w:color w:val="auto"/>
          <w:sz w:val="28"/>
          <w:szCs w:val="28"/>
          <w:lang w:val="en-US" w:eastAsia="zh-CN"/>
        </w:rPr>
      </w:pPr>
      <w:r>
        <w:rPr>
          <w:rFonts w:hint="eastAsia" w:ascii="仿宋_GB2312" w:hAnsi="仿宋_GB2312" w:eastAsia="仿宋_GB2312" w:cs="仿宋_GB2312"/>
          <w:b w:val="0"/>
          <w:bCs w:val="0"/>
          <w:color w:val="auto"/>
          <w:sz w:val="28"/>
          <w:szCs w:val="28"/>
          <w:lang w:val="en-US" w:eastAsia="zh-CN"/>
        </w:rPr>
        <w:t>8.可与医院在用的奥林巴斯等离子电切镜主机及手术器械相互匹配使用。</w:t>
      </w:r>
    </w:p>
    <w:p w14:paraId="24F5F6F4">
      <w:pPr>
        <w:keepNext w:val="0"/>
        <w:keepLines w:val="0"/>
        <w:pageBreakBefore w:val="0"/>
        <w:widowControl/>
        <w:kinsoku/>
        <w:wordWrap/>
        <w:overflowPunct/>
        <w:topLinePunct w:val="0"/>
        <w:autoSpaceDE/>
        <w:autoSpaceDN/>
        <w:bidi w:val="0"/>
        <w:adjustRightInd/>
        <w:snapToGrid/>
        <w:spacing w:line="240" w:lineRule="auto"/>
        <w:ind w:left="0" w:leftChars="0" w:right="0" w:rightChars="0" w:firstLine="0" w:firstLineChars="0"/>
        <w:jc w:val="left"/>
        <w:textAlignment w:val="auto"/>
        <w:outlineLvl w:val="9"/>
        <w:rPr>
          <w:rFonts w:hint="eastAsia" w:ascii="仿宋_GB2312" w:hAnsi="仿宋_GB2312" w:eastAsia="仿宋_GB2312" w:cs="仿宋_GB2312"/>
          <w:b w:val="0"/>
          <w:bCs w:val="0"/>
          <w:color w:val="auto"/>
          <w:sz w:val="28"/>
          <w:szCs w:val="28"/>
          <w:highlight w:val="none"/>
          <w:lang w:val="en-US" w:eastAsia="zh-CN"/>
        </w:rPr>
      </w:pPr>
      <w:r>
        <w:rPr>
          <w:rFonts w:hint="eastAsia" w:ascii="仿宋_GB2312" w:hAnsi="仿宋_GB2312" w:eastAsia="仿宋_GB2312" w:cs="仿宋_GB2312"/>
          <w:b/>
          <w:bCs/>
          <w:color w:val="auto"/>
          <w:sz w:val="28"/>
          <w:szCs w:val="28"/>
          <w:highlight w:val="none"/>
          <w:lang w:val="en-US" w:eastAsia="zh-CN"/>
        </w:rPr>
        <w:t>三、免费质保期3年。</w:t>
      </w:r>
    </w:p>
    <w:p w14:paraId="4FDFF166">
      <w:pPr>
        <w:keepNext w:val="0"/>
        <w:keepLines w:val="0"/>
        <w:widowControl/>
        <w:suppressLineNumbers w:val="0"/>
        <w:jc w:val="left"/>
        <w:rPr>
          <w:rFonts w:hint="eastAsia" w:ascii="仿宋_GB2312" w:hAnsi="仿宋_GB2312" w:eastAsia="仿宋_GB2312" w:cs="仿宋_GB2312"/>
          <w:i w:val="0"/>
          <w:iCs w:val="0"/>
          <w:caps w:val="0"/>
          <w:color w:val="FF0000"/>
          <w:spacing w:val="0"/>
          <w:sz w:val="28"/>
          <w:szCs w:val="28"/>
          <w:highlight w:val="yellow"/>
          <w:shd w:val="clear" w:fill="FFFFFF"/>
          <w:lang w:val="en-US" w:eastAsia="zh-CN"/>
        </w:rPr>
      </w:pPr>
    </w:p>
    <w:p w14:paraId="2A820835">
      <w:pPr>
        <w:keepNext w:val="0"/>
        <w:keepLines w:val="0"/>
        <w:pageBreakBefore w:val="0"/>
        <w:widowControl w:val="0"/>
        <w:kinsoku/>
        <w:wordWrap/>
        <w:overflowPunct/>
        <w:topLinePunct w:val="0"/>
        <w:autoSpaceDE/>
        <w:autoSpaceDN/>
        <w:bidi w:val="0"/>
        <w:adjustRightInd/>
        <w:snapToGrid/>
        <w:spacing w:line="500" w:lineRule="exact"/>
        <w:ind w:left="0" w:leftChars="0" w:right="0" w:rightChars="0" w:firstLine="0" w:firstLineChars="0"/>
        <w:jc w:val="both"/>
        <w:textAlignment w:val="auto"/>
        <w:outlineLvl w:val="9"/>
        <w:rPr>
          <w:rFonts w:hint="eastAsia" w:ascii="仿宋_GB2312" w:hAnsi="仿宋_GB2312" w:eastAsia="仿宋_GB2312" w:cs="仿宋_GB2312"/>
          <w:b/>
          <w:bCs/>
          <w:i w:val="0"/>
          <w:iCs w:val="0"/>
          <w:caps w:val="0"/>
          <w:color w:val="auto"/>
          <w:spacing w:val="0"/>
          <w:sz w:val="28"/>
          <w:szCs w:val="28"/>
          <w:shd w:val="clear" w:fill="FFFFFF"/>
          <w:lang w:val="en-US" w:eastAsia="zh-CN"/>
        </w:rPr>
      </w:pPr>
      <w:r>
        <w:rPr>
          <w:rFonts w:hint="eastAsia" w:ascii="仿宋_GB2312" w:hAnsi="仿宋_GB2312" w:eastAsia="仿宋_GB2312" w:cs="仿宋_GB2312"/>
          <w:b/>
          <w:bCs/>
          <w:i w:val="0"/>
          <w:iCs w:val="0"/>
          <w:caps w:val="0"/>
          <w:color w:val="auto"/>
          <w:spacing w:val="0"/>
          <w:sz w:val="28"/>
          <w:szCs w:val="28"/>
          <w:shd w:val="clear" w:fill="FFFFFF"/>
          <w:lang w:val="en-US" w:eastAsia="zh-CN"/>
        </w:rPr>
        <w:t>注：上述技术参数须全部满足，否则视作无效响应。</w:t>
      </w:r>
    </w:p>
    <w:p w14:paraId="5062598C">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KSOFE44F9426">
    <w:panose1 w:val="02010609060101010101"/>
    <w:charset w:val="86"/>
    <w:family w:val="auto"/>
    <w:pitch w:val="default"/>
    <w:sig w:usb0="00000001" w:usb1="00000000" w:usb2="00000000" w:usb3="00000000" w:csb0="00040001" w:csb1="00000000"/>
  </w:font>
  <w:font w:name="KSOFE4500885">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2E007D9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2"/>
    <w:basedOn w:val="1"/>
    <w:next w:val="1"/>
    <w:link w:val="6"/>
    <w:qFormat/>
    <w:uiPriority w:val="0"/>
    <w:pPr>
      <w:keepNext/>
      <w:keepLines/>
      <w:spacing w:before="260" w:after="260" w:line="416" w:lineRule="auto"/>
      <w:outlineLvl w:val="1"/>
    </w:pPr>
    <w:rPr>
      <w:rFonts w:ascii="Arial" w:hAnsi="Arial" w:eastAsia="黑体"/>
      <w:b/>
      <w:bCs/>
      <w:sz w:val="32"/>
      <w:szCs w:val="32"/>
    </w:rPr>
  </w:style>
  <w:style w:type="character" w:default="1" w:styleId="5">
    <w:name w:val="Default Paragraph Font"/>
    <w:semiHidden/>
    <w:uiPriority w:val="0"/>
  </w:style>
  <w:style w:type="table" w:default="1" w:styleId="3">
    <w:name w:val="Normal Table"/>
    <w:semiHidden/>
    <w:uiPriority w:val="0"/>
    <w:tblPr>
      <w:tblCellMar>
        <w:top w:w="0" w:type="dxa"/>
        <w:left w:w="108" w:type="dxa"/>
        <w:bottom w:w="0" w:type="dxa"/>
        <w:right w:w="108" w:type="dxa"/>
      </w:tblCellMar>
    </w:tblPr>
  </w:style>
  <w:style w:type="table" w:styleId="4">
    <w:name w:val="Table Grid"/>
    <w:basedOn w:val="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6">
    <w:name w:val="标题 2 Char"/>
    <w:link w:val="2"/>
    <w:qFormat/>
    <w:uiPriority w:val="0"/>
    <w:rPr>
      <w:rFonts w:ascii="Arial" w:hAnsi="Arial" w:eastAsia="黑体"/>
      <w:b/>
      <w:bCs/>
      <w:sz w:val="32"/>
      <w:szCs w:val="32"/>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2026-08-03T07:37:54Z</dcterms:created>
  <dc:creator>魏柯</dc:creator>
  <cp:lastModifiedBy>WPS_1177995520</cp:lastModifiedBy>
  <dcterms:modified xsi:type="dcterms:W3CDTF">2026-08-03T07:38:17Z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eyJoZGlkIjoiZDljOWJmN2IzNTYzZDFkNTY4ZTBiMDQwOWVlYzY4ZTgiLCJ1c2VySWQiOiIxMTc3OTk1NTIwIn0=</vt:lpwstr>
  </property>
  <property fmtid="{D5CDD505-2E9C-101B-9397-08002B2CF9AE}" pid="4" name="ICV">
    <vt:lpwstr>E9581EB96C0A43688D9EEABB58F27EC0_12</vt:lpwstr>
  </property>
</Properties>
</file>