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7504FE">
      <w:pPr>
        <w:jc w:val="center"/>
        <w:rPr>
          <w:rFonts w:hint="eastAsia"/>
        </w:rPr>
      </w:pPr>
    </w:p>
    <w:p w14:paraId="63DAB399">
      <w:pPr>
        <w:jc w:val="center"/>
        <w:rPr>
          <w:rFonts w:hint="eastAsia" w:ascii="方正小标宋简体" w:hAnsi="方正小标宋简体" w:eastAsia="方正小标宋简体" w:cs="方正小标宋简体"/>
          <w:b/>
          <w:bCs/>
          <w:sz w:val="44"/>
          <w:szCs w:val="44"/>
          <w:lang w:eastAsia="zh-CN"/>
        </w:rPr>
      </w:pPr>
      <w:r>
        <w:rPr>
          <w:rFonts w:hint="eastAsia" w:ascii="方正小标宋简体" w:hAnsi="方正小标宋简体" w:eastAsia="方正小标宋简体" w:cs="方正小标宋简体"/>
          <w:b w:val="0"/>
          <w:bCs w:val="0"/>
          <w:sz w:val="44"/>
          <w:szCs w:val="44"/>
          <w:lang w:eastAsia="zh-CN"/>
        </w:rPr>
        <w:t>舒城县人民</w:t>
      </w:r>
      <w:r>
        <w:rPr>
          <w:rFonts w:hint="eastAsia" w:ascii="方正小标宋简体" w:hAnsi="方正小标宋简体" w:eastAsia="方正小标宋简体" w:cs="方正小标宋简体"/>
          <w:b w:val="0"/>
          <w:bCs w:val="0"/>
          <w:sz w:val="44"/>
          <w:szCs w:val="44"/>
        </w:rPr>
        <w:t>医院防火门采购及安装</w:t>
      </w:r>
      <w:r>
        <w:rPr>
          <w:rFonts w:hint="eastAsia" w:ascii="方正小标宋简体" w:hAnsi="方正小标宋简体" w:eastAsia="方正小标宋简体" w:cs="方正小标宋简体"/>
          <w:b/>
          <w:bCs/>
          <w:sz w:val="44"/>
          <w:szCs w:val="44"/>
          <w:lang w:eastAsia="zh-CN"/>
        </w:rPr>
        <w:t>项目</w:t>
      </w:r>
    </w:p>
    <w:p w14:paraId="7FD139A6">
      <w:pPr>
        <w:jc w:val="center"/>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rPr>
        <w:t>需求</w:t>
      </w:r>
      <w:bookmarkStart w:id="0" w:name="_GoBack"/>
      <w:bookmarkEnd w:id="0"/>
    </w:p>
    <w:p w14:paraId="0F3608DA">
      <w:pPr>
        <w:jc w:val="center"/>
        <w:rPr>
          <w:rFonts w:hint="eastAsia"/>
        </w:rPr>
      </w:pPr>
    </w:p>
    <w:p w14:paraId="40FE0598">
      <w:pPr>
        <w:ind w:firstLine="640" w:firstLineChars="200"/>
        <w:jc w:val="both"/>
        <w:rPr>
          <w:rFonts w:hint="eastAsia" w:ascii="黑体" w:hAnsi="黑体" w:eastAsia="黑体" w:cs="黑体"/>
        </w:rPr>
      </w:pPr>
      <w:r>
        <w:rPr>
          <w:rFonts w:hint="eastAsia" w:ascii="黑体" w:hAnsi="黑体" w:eastAsia="黑体" w:cs="黑体"/>
          <w:lang w:val="en-US" w:eastAsia="zh-CN"/>
        </w:rPr>
        <w:t>一、 项目概况与执行标准</w:t>
      </w:r>
    </w:p>
    <w:p w14:paraId="3EEA8207">
      <w:pPr>
        <w:ind w:firstLine="640" w:firstLineChars="200"/>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1、</w:t>
      </w:r>
      <w:r>
        <w:rPr>
          <w:rFonts w:hint="eastAsia" w:ascii="方正仿宋_GB2312" w:hAnsi="方正仿宋_GB2312" w:eastAsia="方正仿宋_GB2312" w:cs="方正仿宋_GB2312"/>
        </w:rPr>
        <w:t>采购内容：本项目涵盖</w:t>
      </w:r>
      <w:r>
        <w:rPr>
          <w:rFonts w:hint="eastAsia" w:ascii="方正仿宋_GB2312" w:hAnsi="方正仿宋_GB2312" w:eastAsia="方正仿宋_GB2312" w:cs="方正仿宋_GB2312"/>
          <w:lang w:eastAsia="zh-CN"/>
        </w:rPr>
        <w:t>舒城县人民</w:t>
      </w:r>
      <w:r>
        <w:rPr>
          <w:rFonts w:hint="eastAsia" w:ascii="方正仿宋_GB2312" w:hAnsi="方正仿宋_GB2312" w:eastAsia="方正仿宋_GB2312" w:cs="方正仿宋_GB2312"/>
        </w:rPr>
        <w:t>医院</w:t>
      </w:r>
      <w:r>
        <w:rPr>
          <w:rFonts w:hint="eastAsia" w:ascii="方正仿宋_GB2312" w:hAnsi="方正仿宋_GB2312" w:eastAsia="方正仿宋_GB2312" w:cs="方正仿宋_GB2312"/>
          <w:lang w:eastAsia="zh-CN"/>
        </w:rPr>
        <w:t>病房</w:t>
      </w:r>
      <w:r>
        <w:rPr>
          <w:rFonts w:hint="eastAsia" w:ascii="方正仿宋_GB2312" w:hAnsi="方正仿宋_GB2312" w:eastAsia="方正仿宋_GB2312" w:cs="方正仿宋_GB2312"/>
          <w:lang w:val="en-US" w:eastAsia="zh-CN"/>
        </w:rPr>
        <w:t>避难间等改造中24樘</w:t>
      </w:r>
      <w:r>
        <w:rPr>
          <w:rFonts w:hint="eastAsia" w:ascii="方正仿宋_GB2312" w:hAnsi="方正仿宋_GB2312" w:eastAsia="方正仿宋_GB2312" w:cs="方正仿宋_GB2312"/>
        </w:rPr>
        <w:t>旧门拆除</w:t>
      </w:r>
      <w:r>
        <w:rPr>
          <w:rFonts w:hint="eastAsia" w:ascii="方正仿宋_GB2312" w:hAnsi="方正仿宋_GB2312" w:eastAsia="方正仿宋_GB2312" w:cs="方正仿宋_GB2312"/>
          <w:lang w:val="en-US" w:eastAsia="zh-CN"/>
        </w:rPr>
        <w:t>清理</w:t>
      </w:r>
      <w:r>
        <w:rPr>
          <w:rFonts w:hint="eastAsia" w:ascii="方正仿宋_GB2312" w:hAnsi="方正仿宋_GB2312" w:eastAsia="方正仿宋_GB2312" w:cs="方正仿宋_GB2312"/>
          <w:lang w:eastAsia="zh-CN"/>
        </w:rPr>
        <w:t>与</w:t>
      </w:r>
      <w:r>
        <w:rPr>
          <w:rFonts w:hint="eastAsia" w:ascii="方正仿宋_GB2312" w:hAnsi="方正仿宋_GB2312" w:eastAsia="方正仿宋_GB2312" w:cs="方正仿宋_GB2312"/>
          <w:lang w:val="en-US" w:eastAsia="zh-CN"/>
        </w:rPr>
        <w:t>24樘甲级双开子母防火门（带防火玻璃视窗）</w:t>
      </w:r>
      <w:r>
        <w:rPr>
          <w:rFonts w:hint="eastAsia" w:ascii="方正仿宋_GB2312" w:hAnsi="方正仿宋_GB2312" w:eastAsia="方正仿宋_GB2312" w:cs="方正仿宋_GB2312"/>
        </w:rPr>
        <w:t>供货及安装调试、洞口修补恢复等全流程服务。</w:t>
      </w:r>
    </w:p>
    <w:p w14:paraId="4DF6848F">
      <w:pPr>
        <w:ind w:firstLine="640" w:firstLineChars="200"/>
        <w:jc w:val="both"/>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val="en-US" w:eastAsia="zh-CN"/>
        </w:rPr>
        <w:t>2、</w:t>
      </w:r>
      <w:r>
        <w:rPr>
          <w:rFonts w:hint="eastAsia" w:ascii="方正仿宋_GB2312" w:hAnsi="方正仿宋_GB2312" w:eastAsia="方正仿宋_GB2312" w:cs="方正仿宋_GB2312"/>
        </w:rPr>
        <w:t>最高限价：</w:t>
      </w:r>
      <w:r>
        <w:rPr>
          <w:rFonts w:hint="eastAsia" w:ascii="方正仿宋_GB2312" w:hAnsi="方正仿宋_GB2312" w:eastAsia="方正仿宋_GB2312" w:cs="方正仿宋_GB2312"/>
          <w:highlight w:val="none"/>
          <w:lang w:val="en-US" w:eastAsia="zh-CN"/>
        </w:rPr>
        <w:t>700</w:t>
      </w:r>
      <w:r>
        <w:rPr>
          <w:rFonts w:hint="eastAsia" w:ascii="方正仿宋_GB2312" w:hAnsi="方正仿宋_GB2312" w:eastAsia="方正仿宋_GB2312" w:cs="方正仿宋_GB2312"/>
        </w:rPr>
        <w:t>元/平方米，</w:t>
      </w:r>
      <w:r>
        <w:rPr>
          <w:rFonts w:hint="eastAsia" w:ascii="方正仿宋_GB2312" w:hAnsi="方正仿宋_GB2312" w:eastAsia="方正仿宋_GB2312" w:cs="方正仿宋_GB2312"/>
          <w:lang w:eastAsia="zh-CN"/>
        </w:rPr>
        <w:t>预计量为</w:t>
      </w:r>
      <w:r>
        <w:rPr>
          <w:rFonts w:hint="eastAsia" w:ascii="方正仿宋_GB2312" w:hAnsi="方正仿宋_GB2312" w:eastAsia="方正仿宋_GB2312" w:cs="方正仿宋_GB2312"/>
          <w:highlight w:val="none"/>
          <w:lang w:val="en-US" w:eastAsia="zh-CN"/>
        </w:rPr>
        <w:t>65</w:t>
      </w:r>
      <w:r>
        <w:rPr>
          <w:rFonts w:hint="eastAsia" w:ascii="方正仿宋_GB2312" w:hAnsi="方正仿宋_GB2312" w:eastAsia="方正仿宋_GB2312" w:cs="方正仿宋_GB2312"/>
          <w:lang w:val="en-US" w:eastAsia="zh-CN"/>
        </w:rPr>
        <w:t>平方米，</w:t>
      </w:r>
      <w:r>
        <w:rPr>
          <w:rFonts w:hint="eastAsia" w:ascii="方正仿宋_GB2312" w:hAnsi="方正仿宋_GB2312" w:eastAsia="方正仿宋_GB2312" w:cs="方正仿宋_GB2312"/>
        </w:rPr>
        <w:t>按照实际平方量结算</w:t>
      </w:r>
      <w:r>
        <w:rPr>
          <w:rFonts w:hint="eastAsia" w:ascii="方正仿宋_GB2312" w:hAnsi="方正仿宋_GB2312" w:eastAsia="方正仿宋_GB2312" w:cs="方正仿宋_GB2312"/>
          <w:lang w:eastAsia="zh-CN"/>
        </w:rPr>
        <w:t>。</w:t>
      </w:r>
    </w:p>
    <w:p w14:paraId="3A9456D8">
      <w:pPr>
        <w:ind w:firstLine="640" w:firstLineChars="200"/>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3、</w:t>
      </w:r>
      <w:r>
        <w:rPr>
          <w:rFonts w:hint="eastAsia" w:ascii="方正仿宋_GB2312" w:hAnsi="方正仿宋_GB2312" w:eastAsia="方正仿宋_GB2312" w:cs="方正仿宋_GB2312"/>
        </w:rPr>
        <w:t>执行标准：</w:t>
      </w:r>
      <w:r>
        <w:rPr>
          <w:rFonts w:hint="eastAsia" w:ascii="方正仿宋_GB2312" w:hAnsi="方正仿宋_GB2312" w:eastAsia="方正仿宋_GB2312" w:cs="方正仿宋_GB2312"/>
          <w:highlight w:val="none"/>
        </w:rPr>
        <w:t>所有产品必须严格执行最新国家标准 GB 12955-2024《防火门》及《建筑设计防火规范》GB 50016-2014（2018年版）。产品必须提供国家级消防产品认证（CCCF）及符合新国标的型式检验报告。</w:t>
      </w:r>
    </w:p>
    <w:p w14:paraId="207D9D5A">
      <w:pPr>
        <w:ind w:firstLine="640" w:firstLineChars="200"/>
        <w:jc w:val="both"/>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val="en-US" w:eastAsia="zh-CN"/>
        </w:rPr>
        <w:t>4、</w:t>
      </w:r>
      <w:r>
        <w:rPr>
          <w:rFonts w:hint="eastAsia" w:ascii="方正仿宋_GB2312" w:hAnsi="方正仿宋_GB2312" w:eastAsia="方正仿宋_GB2312" w:cs="方正仿宋_GB2312"/>
        </w:rPr>
        <w:t>资质要求：满足《中华人民共和国政府采购法》第二十二条规定</w:t>
      </w:r>
      <w:r>
        <w:rPr>
          <w:rFonts w:hint="eastAsia" w:ascii="方正仿宋_GB2312" w:hAnsi="方正仿宋_GB2312" w:eastAsia="方正仿宋_GB2312" w:cs="方正仿宋_GB2312"/>
          <w:lang w:eastAsia="zh-CN"/>
        </w:rPr>
        <w:t>。</w:t>
      </w:r>
    </w:p>
    <w:p w14:paraId="6E30F366">
      <w:pPr>
        <w:ind w:firstLine="640" w:firstLineChars="200"/>
        <w:jc w:val="both"/>
        <w:rPr>
          <w:rFonts w:hint="eastAsia" w:ascii="黑体" w:hAnsi="黑体" w:eastAsia="黑体" w:cs="黑体"/>
          <w:lang w:val="en-US" w:eastAsia="zh-CN"/>
        </w:rPr>
      </w:pPr>
      <w:r>
        <w:rPr>
          <w:rFonts w:hint="eastAsia" w:ascii="黑体" w:hAnsi="黑体" w:eastAsia="黑体" w:cs="黑体"/>
          <w:lang w:val="en-US" w:eastAsia="zh-CN"/>
        </w:rPr>
        <w:t>二、 核心技术与材质要求</w:t>
      </w:r>
    </w:p>
    <w:p w14:paraId="1144F70D">
      <w:pPr>
        <w:ind w:firstLine="640" w:firstLineChars="200"/>
        <w:jc w:val="both"/>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1、尺寸（cm）:外径（含门框）高214宽125；内径:高206宽126。</w:t>
      </w:r>
    </w:p>
    <w:p w14:paraId="61738A11">
      <w:pPr>
        <w:ind w:firstLine="640" w:firstLineChars="200"/>
        <w:jc w:val="both"/>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2、外观：防火门外观、颜色与院内现风格一致。</w:t>
      </w:r>
    </w:p>
    <w:p w14:paraId="194E0C0F">
      <w:pPr>
        <w:keepNext w:val="0"/>
        <w:keepLines w:val="0"/>
        <w:widowControl/>
        <w:suppressLineNumbers w:val="0"/>
        <w:ind w:firstLine="640" w:firstLineChars="200"/>
        <w:jc w:val="left"/>
        <w:rPr>
          <w:rFonts w:hint="eastAsia" w:ascii="宋体" w:hAnsi="宋体" w:eastAsia="宋体" w:cs="宋体"/>
          <w:sz w:val="28"/>
          <w:szCs w:val="28"/>
        </w:rPr>
      </w:pPr>
      <w:r>
        <w:rPr>
          <w:rFonts w:hint="eastAsia" w:ascii="方正仿宋_GB2312" w:hAnsi="方正仿宋_GB2312" w:eastAsia="方正仿宋_GB2312" w:cs="方正仿宋_GB2312"/>
          <w:lang w:val="en-US" w:eastAsia="zh-CN"/>
        </w:rPr>
        <w:t>3、</w:t>
      </w:r>
      <w:r>
        <w:rPr>
          <w:rFonts w:hint="eastAsia" w:ascii="方正仿宋_GB2312" w:hAnsi="方正仿宋_GB2312" w:eastAsia="方正仿宋_GB2312" w:cs="方正仿宋_GB2312"/>
        </w:rPr>
        <w:t>耐火与隔热性能：甲级防火门耐火完整性与隔热性均不得低于1.5小时。</w:t>
      </w:r>
      <w:r>
        <w:rPr>
          <w:rFonts w:hint="eastAsia" w:ascii="方正仿宋_GB2312" w:hAnsi="方正仿宋_GB2312" w:eastAsia="方正仿宋_GB2312" w:cs="方正仿宋_GB2312"/>
          <w:lang w:val="en-US" w:eastAsia="zh-CN"/>
        </w:rPr>
        <w:t>门扇和门框内填充材料（</w:t>
      </w:r>
      <w:r>
        <w:rPr>
          <w:rFonts w:hint="eastAsia" w:ascii="方正仿宋_GB2312" w:hAnsi="方正仿宋_GB2312" w:eastAsia="方正仿宋_GB2312" w:cs="方正仿宋_GB2312"/>
          <w:highlight w:val="none"/>
          <w:lang w:val="en-US" w:eastAsia="zh-CN"/>
        </w:rPr>
        <w:t>水泥浇筑</w:t>
      </w:r>
      <w:r>
        <w:rPr>
          <w:rFonts w:hint="eastAsia" w:ascii="方正仿宋_GB2312" w:hAnsi="方正仿宋_GB2312" w:eastAsia="方正仿宋_GB2312" w:cs="方正仿宋_GB2312"/>
          <w:lang w:val="en-US" w:eastAsia="zh-CN"/>
        </w:rPr>
        <w:t>），用符合环保要求和</w:t>
      </w:r>
      <w:r>
        <w:rPr>
          <w:rFonts w:hint="eastAsia" w:ascii="方正仿宋_GB2312" w:hAnsi="方正仿宋_GB2312" w:eastAsia="方正仿宋_GB2312" w:cs="方正仿宋_GB2312"/>
        </w:rPr>
        <w:t>规范要求的不燃性材料填实。</w:t>
      </w:r>
    </w:p>
    <w:p w14:paraId="117928F0">
      <w:pPr>
        <w:keepNext w:val="0"/>
        <w:keepLines w:val="0"/>
        <w:widowControl/>
        <w:suppressLineNumbers w:val="0"/>
        <w:ind w:firstLine="640" w:firstLineChars="200"/>
        <w:jc w:val="left"/>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4、</w:t>
      </w:r>
      <w:r>
        <w:rPr>
          <w:rFonts w:hint="eastAsia" w:ascii="方正仿宋_GB2312" w:hAnsi="方正仿宋_GB2312" w:eastAsia="方正仿宋_GB2312" w:cs="方正仿宋_GB2312"/>
        </w:rPr>
        <w:t>钢板与五金厚度：</w:t>
      </w:r>
      <w:r>
        <w:rPr>
          <w:rFonts w:hint="eastAsia" w:ascii="方正仿宋_GB2312" w:hAnsi="方正仿宋_GB2312" w:eastAsia="方正仿宋_GB2312" w:cs="方正仿宋_GB2312"/>
          <w:lang w:val="en-US" w:eastAsia="zh-CN"/>
        </w:rPr>
        <w:t>门框、门扇面板采用冷轧薄钢板。门框采用≥0.8mm钢制材料，门扇面板采用≥1.2mm钢制材料，铰链板≥3.0mm钢制材料,不带螺孔的加固件≥1.2mm钢制材料,带螺孔的加固件≥3.0mm钢制材料。</w:t>
      </w:r>
    </w:p>
    <w:p w14:paraId="4E88BCA6">
      <w:pPr>
        <w:keepNext w:val="0"/>
        <w:keepLines w:val="0"/>
        <w:widowControl/>
        <w:suppressLineNumbers w:val="0"/>
        <w:ind w:firstLine="640" w:firstLineChars="200"/>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5、</w:t>
      </w:r>
      <w:r>
        <w:rPr>
          <w:rFonts w:hint="eastAsia" w:ascii="方正仿宋_GB2312" w:hAnsi="方正仿宋_GB2312" w:eastAsia="方正仿宋_GB2312" w:cs="方正仿宋_GB2312"/>
        </w:rPr>
        <w:t>视窗要求：需配备与门同等防火极限的防火玻璃视窗</w:t>
      </w:r>
      <w:r>
        <w:rPr>
          <w:rFonts w:hint="eastAsia" w:ascii="方正仿宋_GB2312" w:hAnsi="方正仿宋_GB2312" w:eastAsia="方正仿宋_GB2312" w:cs="方正仿宋_GB2312"/>
          <w:highlight w:val="none"/>
        </w:rPr>
        <w:t>（单扇面积不小于0.</w:t>
      </w:r>
      <w:r>
        <w:rPr>
          <w:rFonts w:hint="eastAsia" w:ascii="方正仿宋_GB2312" w:hAnsi="方正仿宋_GB2312" w:eastAsia="方正仿宋_GB2312" w:cs="方正仿宋_GB2312"/>
          <w:highlight w:val="none"/>
          <w:lang w:val="en-US" w:eastAsia="zh-CN"/>
        </w:rPr>
        <w:t>06</w:t>
      </w:r>
      <w:r>
        <w:rPr>
          <w:rFonts w:hint="eastAsia" w:ascii="方正仿宋_GB2312" w:hAnsi="方正仿宋_GB2312" w:eastAsia="方正仿宋_GB2312" w:cs="方正仿宋_GB2312"/>
          <w:highlight w:val="none"/>
        </w:rPr>
        <w:t>平方米）</w:t>
      </w:r>
      <w:r>
        <w:rPr>
          <w:rFonts w:hint="eastAsia" w:ascii="方正仿宋_GB2312" w:hAnsi="方正仿宋_GB2312" w:eastAsia="方正仿宋_GB2312" w:cs="方正仿宋_GB2312"/>
        </w:rPr>
        <w:t>，不锈钢门边玻璃防火门需整体符合防火规范。</w:t>
      </w:r>
      <w:r>
        <w:rPr>
          <w:rFonts w:hint="eastAsia" w:ascii="方正仿宋_GB2312" w:hAnsi="方正仿宋_GB2312" w:eastAsia="方正仿宋_GB2312" w:cs="方正仿宋_GB2312"/>
          <w:lang w:val="en-US" w:eastAsia="zh-CN"/>
        </w:rPr>
        <w:t>其耐火性能应符合防火门的条件。防火玻璃应经国家认可授权检测机构检验合格，其性能应符合 GB15763.1的规定。</w:t>
      </w:r>
    </w:p>
    <w:p w14:paraId="10641D94">
      <w:pPr>
        <w:keepNext w:val="0"/>
        <w:keepLines w:val="0"/>
        <w:widowControl/>
        <w:suppressLineNumbers w:val="0"/>
        <w:ind w:firstLine="640" w:firstLineChars="200"/>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 xml:space="preserve">6、防火门门框与门扇、门扇与门扇的缝隙处应嵌装防火密封件。 防火密封件应经国家认可授权检测机构检验合格，其性能应符合 GB16807的规定。 </w:t>
      </w:r>
    </w:p>
    <w:p w14:paraId="04265B93">
      <w:pPr>
        <w:keepNext w:val="0"/>
        <w:keepLines w:val="0"/>
        <w:widowControl/>
        <w:suppressLineNumbers w:val="0"/>
        <w:ind w:firstLine="640" w:firstLineChars="200"/>
        <w:jc w:val="left"/>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7、钢质防火门外观应平整、光洁、无明显凹痕或机械损伤；涂层、镀层应均匀、平整、光滑，不应有堆漆、麻点、气泡、漏涂以及流淌等现象；焊接应牢固、焊点分布均匀，不允许有假焊、烧穿、漏焊、夹渣或疏松等现象，外表面焊接应打磨平整。</w:t>
      </w:r>
    </w:p>
    <w:p w14:paraId="6AD6DCCF">
      <w:pPr>
        <w:keepNext w:val="0"/>
        <w:keepLines w:val="0"/>
        <w:widowControl/>
        <w:suppressLineNumbers w:val="0"/>
        <w:ind w:firstLine="640" w:firstLineChars="200"/>
        <w:jc w:val="left"/>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8、门扇与上框的配合活动间隙不应大于3mm。双扇、多扇门的门扇之间缝隙不应大于3mm。门扇与下框或地面的活动间隙不应大于9mm。门扇与门框有合页一侧、有锁一侧及上框的贴合面间隙均不应大于3mm。</w:t>
      </w:r>
    </w:p>
    <w:p w14:paraId="60943509">
      <w:pPr>
        <w:keepNext w:val="0"/>
        <w:keepLines w:val="0"/>
        <w:widowControl/>
        <w:suppressLineNumbers w:val="0"/>
        <w:ind w:firstLine="640" w:firstLineChars="200"/>
        <w:jc w:val="left"/>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9、提供详细的产品说明书，包括产品型号、规格、技术参数、性能特点等；产品的第三方检测报告，证明产品符合防火门相关标准；清晰准确的报价明细，注明每种规格防火门的单价、总价及相关费用。</w:t>
      </w:r>
    </w:p>
    <w:p w14:paraId="7209EBED">
      <w:pPr>
        <w:keepNext w:val="0"/>
        <w:keepLines w:val="0"/>
        <w:widowControl/>
        <w:suppressLineNumbers w:val="0"/>
        <w:ind w:firstLine="640" w:firstLineChars="200"/>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10、提供完善的售后服务方案，包括售后服务团队组成、响应时间、维修流程、质保期后的服务承诺等内容 。</w:t>
      </w:r>
    </w:p>
    <w:p w14:paraId="19464AB2">
      <w:pPr>
        <w:ind w:firstLine="640" w:firstLineChars="200"/>
        <w:jc w:val="both"/>
        <w:rPr>
          <w:rFonts w:hint="eastAsia" w:ascii="黑体" w:hAnsi="黑体" w:eastAsia="黑体" w:cs="黑体"/>
        </w:rPr>
      </w:pPr>
      <w:r>
        <w:rPr>
          <w:rFonts w:hint="eastAsia" w:ascii="黑体" w:hAnsi="黑体" w:eastAsia="黑体" w:cs="黑体"/>
          <w:lang w:val="en-US" w:eastAsia="zh-CN"/>
        </w:rPr>
        <w:t>三、标识、溯源与验收标准</w:t>
      </w:r>
    </w:p>
    <w:p w14:paraId="1ABA9E70">
      <w:pPr>
        <w:ind w:firstLine="640" w:firstLineChars="200"/>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每樘产品必须配备唯一的消防产品身份信息溯源编码（S型身份标识铭牌），实现全生命周期可追溯。</w:t>
      </w:r>
    </w:p>
    <w:p w14:paraId="1DAE8F89">
      <w:pPr>
        <w:ind w:firstLine="640" w:firstLineChars="200"/>
        <w:jc w:val="both"/>
        <w:rPr>
          <w:rFonts w:hint="eastAsia" w:ascii="黑体" w:hAnsi="黑体" w:eastAsia="黑体" w:cs="黑体"/>
        </w:rPr>
      </w:pPr>
      <w:r>
        <w:rPr>
          <w:rFonts w:hint="eastAsia" w:ascii="黑体" w:hAnsi="黑体" w:eastAsia="黑体" w:cs="黑体"/>
          <w:lang w:val="en-US" w:eastAsia="zh-CN"/>
        </w:rPr>
        <w:t>四、安装与售后服务要求</w:t>
      </w:r>
    </w:p>
    <w:p w14:paraId="3D6C861E">
      <w:pPr>
        <w:ind w:firstLine="640" w:firstLineChars="200"/>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1、</w:t>
      </w:r>
      <w:r>
        <w:rPr>
          <w:rFonts w:hint="eastAsia" w:ascii="方正仿宋_GB2312" w:hAnsi="方正仿宋_GB2312" w:eastAsia="方正仿宋_GB2312" w:cs="方正仿宋_GB2312"/>
        </w:rPr>
        <w:t>工期要求：自合同签订之日起</w:t>
      </w:r>
      <w:r>
        <w:rPr>
          <w:rFonts w:hint="eastAsia" w:ascii="方正仿宋_GB2312" w:hAnsi="方正仿宋_GB2312" w:eastAsia="方正仿宋_GB2312" w:cs="方正仿宋_GB2312"/>
          <w:highlight w:val="none"/>
          <w:lang w:val="en-US" w:eastAsia="zh-CN"/>
        </w:rPr>
        <w:t>2</w:t>
      </w:r>
      <w:r>
        <w:rPr>
          <w:rFonts w:hint="eastAsia" w:ascii="方正仿宋_GB2312" w:hAnsi="方正仿宋_GB2312" w:eastAsia="方正仿宋_GB2312" w:cs="方正仿宋_GB2312"/>
          <w:highlight w:val="none"/>
        </w:rPr>
        <w:t>0个</w:t>
      </w:r>
      <w:r>
        <w:rPr>
          <w:rFonts w:hint="eastAsia" w:ascii="方正仿宋_GB2312" w:hAnsi="方正仿宋_GB2312" w:eastAsia="方正仿宋_GB2312" w:cs="方正仿宋_GB2312"/>
        </w:rPr>
        <w:t>日历天内完成供货、安装调试。</w:t>
      </w:r>
    </w:p>
    <w:p w14:paraId="798EC3AA">
      <w:pPr>
        <w:ind w:firstLine="640" w:firstLineChars="200"/>
        <w:jc w:val="both"/>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2、</w:t>
      </w:r>
      <w:r>
        <w:rPr>
          <w:rFonts w:hint="eastAsia" w:ascii="方正仿宋_GB2312" w:hAnsi="方正仿宋_GB2312" w:eastAsia="方正仿宋_GB2312" w:cs="方正仿宋_GB2312"/>
        </w:rPr>
        <w:t>质保期限：提供至少2年的免费质保期</w:t>
      </w:r>
      <w:r>
        <w:rPr>
          <w:rFonts w:hint="eastAsia" w:ascii="方正仿宋_GB2312" w:hAnsi="方正仿宋_GB2312" w:eastAsia="方正仿宋_GB2312" w:cs="方正仿宋_GB2312"/>
          <w:highlight w:val="none"/>
          <w:lang w:eastAsia="zh-CN"/>
        </w:rPr>
        <w:t>（包含五金配件）</w:t>
      </w:r>
      <w:r>
        <w:rPr>
          <w:rFonts w:hint="eastAsia" w:ascii="方正仿宋_GB2312" w:hAnsi="方正仿宋_GB2312" w:eastAsia="方正仿宋_GB2312" w:cs="方正仿宋_GB2312"/>
        </w:rPr>
        <w:t>。质保期内因产品质量或安装问题导致的故障，供应商需提供免费维修或更换服务。</w:t>
      </w:r>
    </w:p>
    <w:p w14:paraId="26D131D4">
      <w:pPr>
        <w:ind w:firstLine="640" w:firstLineChars="200"/>
        <w:jc w:val="both"/>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t>3、投标方需负责旧门的拆除清理及新防火门的安装工作。</w:t>
      </w:r>
    </w:p>
    <w:p w14:paraId="07E1EDBA">
      <w:pPr>
        <w:ind w:firstLine="640" w:firstLineChars="200"/>
        <w:jc w:val="both"/>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lang w:val="en-US" w:eastAsia="zh-CN"/>
        </w:rPr>
        <w:t>4、</w:t>
      </w:r>
      <w:r>
        <w:rPr>
          <w:rFonts w:hint="eastAsia" w:ascii="方正仿宋_GB2312" w:hAnsi="方正仿宋_GB2312" w:eastAsia="方正仿宋_GB2312" w:cs="方正仿宋_GB2312"/>
        </w:rPr>
        <w:t>为确保工程中实际使用的防火门发挥正常的功能,由</w:t>
      </w:r>
      <w:r>
        <w:rPr>
          <w:rFonts w:hint="eastAsia" w:ascii="方正仿宋_GB2312" w:hAnsi="方正仿宋_GB2312" w:eastAsia="方正仿宋_GB2312" w:cs="方正仿宋_GB2312"/>
          <w:lang w:val="en-US" w:eastAsia="zh-CN"/>
        </w:rPr>
        <w:t>投标方</w:t>
      </w:r>
      <w:r>
        <w:rPr>
          <w:rFonts w:hint="eastAsia" w:ascii="方正仿宋_GB2312" w:hAnsi="方正仿宋_GB2312" w:eastAsia="方正仿宋_GB2312" w:cs="方正仿宋_GB2312"/>
        </w:rPr>
        <w:t>进行安装并负责提供相应的售后</w:t>
      </w:r>
      <w:r>
        <w:rPr>
          <w:rFonts w:hint="eastAsia" w:ascii="方正仿宋_GB2312" w:hAnsi="方正仿宋_GB2312" w:eastAsia="方正仿宋_GB2312" w:cs="方正仿宋_GB2312"/>
          <w:lang w:val="en-US" w:eastAsia="zh-CN"/>
        </w:rPr>
        <w:t>质保</w:t>
      </w:r>
      <w:r>
        <w:rPr>
          <w:rFonts w:hint="eastAsia" w:ascii="方正仿宋_GB2312" w:hAnsi="方正仿宋_GB2312" w:eastAsia="方正仿宋_GB2312" w:cs="方正仿宋_GB2312"/>
        </w:rPr>
        <w:t>服务</w:t>
      </w:r>
      <w:r>
        <w:rPr>
          <w:rFonts w:hint="eastAsia" w:ascii="方正仿宋_GB2312" w:hAnsi="方正仿宋_GB2312" w:eastAsia="方正仿宋_GB2312" w:cs="方正仿宋_GB2312"/>
          <w:lang w:val="en-US" w:eastAsia="zh-CN"/>
        </w:rPr>
        <w:t>，质保期间防火门故障均由投标方负责免费维修</w:t>
      </w:r>
      <w:r>
        <w:rPr>
          <w:rFonts w:hint="eastAsia" w:ascii="方正仿宋_GB2312" w:hAnsi="方正仿宋_GB2312" w:eastAsia="方正仿宋_GB2312" w:cs="方正仿宋_GB2312"/>
          <w:lang w:eastAsia="zh-CN"/>
        </w:rPr>
        <w:t>。</w:t>
      </w:r>
    </w:p>
    <w:p w14:paraId="04E30555">
      <w:pPr>
        <w:ind w:firstLine="640" w:firstLineChars="200"/>
        <w:jc w:val="both"/>
        <w:rPr>
          <w:rFonts w:hint="eastAsia" w:ascii="方正仿宋_GB2312" w:hAnsi="方正仿宋_GB2312" w:eastAsia="方正仿宋_GB2312" w:cs="方正仿宋_GB2312"/>
        </w:rPr>
      </w:pPr>
      <w:r>
        <w:rPr>
          <w:rFonts w:hint="eastAsia" w:ascii="方正仿宋_GB2312" w:hAnsi="方正仿宋_GB2312" w:eastAsia="方正仿宋_GB2312" w:cs="方正仿宋_GB2312"/>
          <w:lang w:val="en-US" w:eastAsia="zh-CN"/>
        </w:rPr>
        <w:t>5、</w:t>
      </w:r>
      <w:r>
        <w:rPr>
          <w:rFonts w:hint="eastAsia" w:ascii="方正仿宋_GB2312" w:hAnsi="方正仿宋_GB2312" w:eastAsia="方正仿宋_GB2312" w:cs="方正仿宋_GB2312"/>
        </w:rPr>
        <w:t>如消防监督部门在检查中发现或在火灾后调查发现消防设施无法正常使用或产品有质量问题时</w:t>
      </w:r>
      <w:r>
        <w:rPr>
          <w:rFonts w:hint="eastAsia" w:ascii="方正仿宋_GB2312" w:hAnsi="方正仿宋_GB2312" w:eastAsia="方正仿宋_GB2312" w:cs="方正仿宋_GB2312"/>
          <w:lang w:eastAsia="zh-CN"/>
        </w:rPr>
        <w:t>，</w:t>
      </w:r>
      <w:r>
        <w:rPr>
          <w:rFonts w:hint="eastAsia" w:ascii="方正仿宋_GB2312" w:hAnsi="方正仿宋_GB2312" w:eastAsia="方正仿宋_GB2312" w:cs="方正仿宋_GB2312"/>
        </w:rPr>
        <w:t>应依法分别追究生产</w:t>
      </w:r>
      <w:r>
        <w:rPr>
          <w:rFonts w:hint="eastAsia" w:ascii="方正仿宋_GB2312" w:hAnsi="方正仿宋_GB2312" w:eastAsia="方正仿宋_GB2312" w:cs="方正仿宋_GB2312"/>
          <w:lang w:eastAsia="zh-CN"/>
        </w:rPr>
        <w:t>及</w:t>
      </w:r>
      <w:r>
        <w:rPr>
          <w:rFonts w:hint="eastAsia" w:ascii="方正仿宋_GB2312" w:hAnsi="方正仿宋_GB2312" w:eastAsia="方正仿宋_GB2312" w:cs="方正仿宋_GB2312"/>
        </w:rPr>
        <w:t>安装单位的责任。</w:t>
      </w:r>
    </w:p>
    <w:p w14:paraId="693E2E74">
      <w:pPr>
        <w:ind w:firstLine="640" w:firstLineChars="200"/>
        <w:jc w:val="both"/>
        <w:rPr>
          <w:rFonts w:hint="eastAsia" w:ascii="黑体" w:hAnsi="黑体" w:eastAsia="黑体" w:cs="黑体"/>
          <w:lang w:val="en-US" w:eastAsia="zh-CN"/>
        </w:rPr>
      </w:pPr>
      <w:r>
        <w:rPr>
          <w:rFonts w:hint="eastAsia" w:ascii="黑体" w:hAnsi="黑体" w:eastAsia="黑体" w:cs="黑体"/>
          <w:lang w:val="en-US" w:eastAsia="zh-CN"/>
        </w:rPr>
        <w:t>五、付款方式</w:t>
      </w:r>
    </w:p>
    <w:p w14:paraId="4653FC5C">
      <w:pPr>
        <w:ind w:firstLine="640" w:firstLineChars="200"/>
        <w:jc w:val="both"/>
        <w:rPr>
          <w:rFonts w:hint="eastAsia" w:ascii="方正仿宋_GB2312" w:hAnsi="方正仿宋_GB2312" w:eastAsia="方正仿宋_GB2312" w:cs="方正仿宋_GB2312"/>
          <w:highlight w:val="yellow"/>
        </w:rPr>
      </w:pPr>
      <w:r>
        <w:rPr>
          <w:rFonts w:hint="eastAsia" w:ascii="方正仿宋_GB2312" w:hAnsi="方正仿宋_GB2312" w:eastAsia="方正仿宋_GB2312" w:cs="方正仿宋_GB2312"/>
          <w:highlight w:val="none"/>
          <w:lang w:val="en-US" w:eastAsia="zh-CN"/>
        </w:rPr>
        <w:t>合同签订项目根据实际安装面积做最终结算，项目完成验收后，支付合同总金额的百分之九十，2年质保期结束支付总金额的百分之十。</w:t>
      </w:r>
      <w:r>
        <w:rPr>
          <w:rFonts w:hint="eastAsia" w:ascii="方正仿宋_GB2312" w:hAnsi="方正仿宋_GB2312" w:eastAsia="方正仿宋_GB2312" w:cs="方正仿宋_GB2312"/>
          <w:highlight w:val="none"/>
          <w:lang w:eastAsia="zh-CN"/>
        </w:rPr>
        <w:t>（</w:t>
      </w:r>
      <w:r>
        <w:rPr>
          <w:rFonts w:hint="eastAsia" w:ascii="方正仿宋_GB2312" w:hAnsi="方正仿宋_GB2312" w:eastAsia="方正仿宋_GB2312" w:cs="方正仿宋_GB2312"/>
          <w:highlight w:val="none"/>
          <w:lang w:val="en-US" w:eastAsia="zh-CN"/>
        </w:rPr>
        <w:t>具体以实际签订合同为准</w:t>
      </w:r>
      <w:r>
        <w:rPr>
          <w:rFonts w:hint="eastAsia" w:ascii="方正仿宋_GB2312" w:hAnsi="方正仿宋_GB2312" w:eastAsia="方正仿宋_GB2312" w:cs="方正仿宋_GB2312"/>
          <w:highlight w:val="none"/>
          <w:lang w:eastAsia="zh-CN"/>
        </w:rPr>
        <w:t>）</w:t>
      </w:r>
    </w:p>
    <w:p w14:paraId="780D1F17">
      <w:pPr>
        <w:rPr>
          <w:rFonts w:hint="eastAsia" w:eastAsia="仿宋"/>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6483E67-DEEF-4304-B97B-75994F185AA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embedRegular r:id="rId2" w:fontKey="{BD65588C-7F6E-41DC-86B7-E85D71834C10}"/>
  </w:font>
  <w:font w:name="方正小标宋简体">
    <w:panose1 w:val="02000000000000000000"/>
    <w:charset w:val="86"/>
    <w:family w:val="auto"/>
    <w:pitch w:val="default"/>
    <w:sig w:usb0="A00002BF" w:usb1="184F6CFA" w:usb2="00000012" w:usb3="00000000" w:csb0="00040001" w:csb1="00000000"/>
    <w:embedRegular r:id="rId3" w:fontKey="{F404451B-7D41-45E1-A54B-99E4131968EC}"/>
  </w:font>
  <w:font w:name="方正仿宋_GB2312">
    <w:altName w:val="仿宋"/>
    <w:panose1 w:val="02000000000000000000"/>
    <w:charset w:val="86"/>
    <w:family w:val="auto"/>
    <w:pitch w:val="default"/>
    <w:sig w:usb0="00000000" w:usb1="00000000" w:usb2="00000012" w:usb3="00000000" w:csb0="00040001" w:csb1="00000000"/>
    <w:embedRegular r:id="rId4" w:fontKey="{F995446A-299F-4651-8FC6-ACABFE99CD96}"/>
  </w:font>
  <w:font w:name="WPSEMBED1">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5E287D"/>
    <w:rsid w:val="00646C7D"/>
    <w:rsid w:val="04D330E5"/>
    <w:rsid w:val="07A373DE"/>
    <w:rsid w:val="07B70A9C"/>
    <w:rsid w:val="0EF63DF9"/>
    <w:rsid w:val="120A2108"/>
    <w:rsid w:val="22474A94"/>
    <w:rsid w:val="23F91733"/>
    <w:rsid w:val="2650413E"/>
    <w:rsid w:val="27E30E13"/>
    <w:rsid w:val="2A636B36"/>
    <w:rsid w:val="2CC60DF7"/>
    <w:rsid w:val="2F3D60C1"/>
    <w:rsid w:val="2FA569F2"/>
    <w:rsid w:val="3B077069"/>
    <w:rsid w:val="3B223EA3"/>
    <w:rsid w:val="3CF90D83"/>
    <w:rsid w:val="460F2655"/>
    <w:rsid w:val="4C343A36"/>
    <w:rsid w:val="59EF3692"/>
    <w:rsid w:val="5AB864BE"/>
    <w:rsid w:val="5C367B48"/>
    <w:rsid w:val="5DA62130"/>
    <w:rsid w:val="68724ACB"/>
    <w:rsid w:val="69230C63"/>
    <w:rsid w:val="73306456"/>
    <w:rsid w:val="77811976"/>
    <w:rsid w:val="79132AA2"/>
    <w:rsid w:val="7BB67714"/>
    <w:rsid w:val="7E5E287D"/>
    <w:rsid w:val="7EAE7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仿宋" w:asciiTheme="minorHAnsi" w:hAnsiTheme="minorHAnsi" w:cstheme="minorBidi"/>
      <w:color w:val="auto"/>
      <w:kern w:val="2"/>
      <w:sz w:val="32"/>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1374</Words>
  <Characters>1463</Characters>
  <Lines>0</Lines>
  <Paragraphs>0</Paragraphs>
  <TotalTime>548</TotalTime>
  <ScaleCrop>false</ScaleCrop>
  <LinksUpToDate>false</LinksUpToDate>
  <CharactersWithSpaces>1473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2026-06-23T07:11:00Z</dcterms:created>
  <dc:creator>汉堡</dc:creator>
  <cp:lastModifiedBy>99特工</cp:lastModifiedBy>
  <dcterms:modified xsi:type="dcterms:W3CDTF">2026-07-07T09:11:34Z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40FE90CBB9734021B4E5E2F339D88452_13</vt:lpwstr>
  </property>
  <property fmtid="{D5CDD505-2E9C-101B-9397-08002B2CF9AE}" pid="4" name="KSOTemplateDocerSaveRecord">
    <vt:lpwstr>eyJoZGlkIjoiNjk5OTYyNzQ3YTI4NzE3MmFiMWY3ZmQ5NzEwNDU2MTgiLCJ1c2VySWQiOiIxMTUyMzM2NjU4In0=</vt:lpwstr>
  </property>
</Properties>
</file>