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AE554">
      <w:pP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项目建设内容：</w:t>
      </w:r>
    </w:p>
    <w:p w14:paraId="17491CCB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1、患者基本信息模块：自动采集姓名、性别、出生日期、婚姻状态、国籍、民族、有效证件信息、现住址、联系电话、药物或其他过敏史、就诊卡号或病案号，支持唯一标识关联与信息更新。</w:t>
      </w:r>
    </w:p>
    <w:p w14:paraId="4BEE2F85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2、就诊过程信息模块：实时记录挂号时间、报到时间、就诊时间、就诊科室、接诊医师及职称、就诊类型、是否复诊、输液、慢特病、急诊分级、急诊去向、住院证开具时间，与 HIS 系统自动同步。</w:t>
      </w:r>
    </w:p>
    <w:p w14:paraId="60D9DADD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3、诊疗信息模块：规范录入主诉、门急诊主要诊断与其他诊断，对接国家临床版疾病编码与手术操作编码，记录手术或操作名称、操作者、麻醉方式、手术分级，满足病历质控要求。</w:t>
      </w:r>
    </w:p>
    <w:p w14:paraId="2D4FCCAA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4、门急诊费用信息模块：按国家规定 10 大类自动归集费用：综合医疗服务类、诊断类、治疗类、康复类、中医类、西药类、中药类、血液及制品类、耗材类、其他类，自动统计总费用与自付金额。</w:t>
      </w:r>
    </w:p>
    <w:p w14:paraId="54DCB970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5、系统对接与自动生成与 HIS、LIS、急诊系统无缝对接，诊疗结束后自动生成信息页，未涉及项目以 “—” 填充，数据格式符合国家接口规范。</w:t>
      </w:r>
    </w:p>
    <w:p w14:paraId="0486E768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6、质量管控与存储：实现信息完整性、规范性、准确性质控，留存操作日志，信息页保存不少于 15 年，支持查询、导出、统计与绩效考核应用。</w:t>
      </w:r>
    </w:p>
    <w:p w14:paraId="0EC698C3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7、界面与权限：按国家通用示例布局展示，分级权限管理，保护患者隐私，适配医生工作站、门诊、急诊终端使用。</w:t>
      </w:r>
    </w:p>
    <w:p w14:paraId="2083EF20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8、符合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《国家卫生健康委医政司关于开展门（急）诊诊疗信息数据报告有关工作的通知》要求，实现将门（急）诊诊疗数据上报至国家医院质量检测系统（HQMS系统）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  <w:bookmarkStart w:id="0" w:name="_GoBack"/>
      <w:bookmarkEnd w:id="0"/>
    </w:p>
    <w:p w14:paraId="64ADF5D8">
      <w:pP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BA7EFB"/>
    <w:rsid w:val="6EE9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</Words>
  <Characters>83</Characters>
  <Lines>0</Lines>
  <Paragraphs>0</Paragraphs>
  <TotalTime>0</TotalTime>
  <ScaleCrop>false</ScaleCrop>
  <LinksUpToDate>false</LinksUpToDate>
  <CharactersWithSpaces>83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2026-06-22T08:24:00Z</dcterms:created>
  <dc:creator>Administrator</dc:creator>
  <cp:lastModifiedBy>闲着</cp:lastModifiedBy>
  <dcterms:modified xsi:type="dcterms:W3CDTF">2026-06-22T09:01:35Z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eyJoZGlkIjoiODg5N2RhODE0YzBhYTk5M2I4MzhkMTUwYmFmODQ1ODUiLCJ1c2VySWQiOiI1MTEyMDI4NTEifQ==</vt:lpwstr>
  </property>
  <property fmtid="{D5CDD505-2E9C-101B-9397-08002B2CF9AE}" pid="4" name="ICV">
    <vt:lpwstr>C6158A346BBA461DBC82C47EE972938C_12</vt:lpwstr>
  </property>
</Properties>
</file>