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4DE5CD">
      <w:pPr>
        <w:spacing w:line="360" w:lineRule="auto"/>
        <w:jc w:val="center"/>
        <w:outlineLvl w:val="0"/>
        <w:rPr>
          <w:rFonts w:asciiTheme="majorEastAsia" w:hAnsiTheme="majorEastAsia" w:eastAsiaTheme="majorEastAsia"/>
          <w:b/>
          <w:color w:val="auto"/>
          <w:sz w:val="28"/>
          <w:highlight w:val="none"/>
        </w:rPr>
      </w:pPr>
      <w:r>
        <w:rPr>
          <w:rFonts w:hint="eastAsia" w:asciiTheme="majorEastAsia" w:hAnsiTheme="majorEastAsia" w:eastAsiaTheme="majorEastAsia"/>
          <w:b/>
          <w:color w:val="auto"/>
          <w:sz w:val="28"/>
          <w:highlight w:val="none"/>
          <w:lang w:val="en-US" w:eastAsia="zh-CN"/>
        </w:rPr>
        <w:t>舒城县人民医院VTE治疗仪采购</w:t>
      </w:r>
      <w:r>
        <w:rPr>
          <w:rFonts w:hint="eastAsia" w:asciiTheme="majorEastAsia" w:hAnsiTheme="majorEastAsia" w:eastAsiaTheme="majorEastAsia"/>
          <w:b/>
          <w:color w:val="auto"/>
          <w:sz w:val="28"/>
          <w:highlight w:val="none"/>
        </w:rPr>
        <w:t>单一来源采购</w:t>
      </w:r>
      <w:r>
        <w:rPr>
          <w:rFonts w:hint="eastAsia" w:asciiTheme="majorEastAsia" w:hAnsiTheme="majorEastAsia" w:eastAsiaTheme="majorEastAsia"/>
          <w:b/>
          <w:color w:val="auto"/>
          <w:sz w:val="28"/>
          <w:highlight w:val="none"/>
          <w:lang w:val="en-US" w:eastAsia="zh-CN"/>
        </w:rPr>
        <w:t>项目</w:t>
      </w:r>
      <w:bookmarkStart w:id="6" w:name="_GoBack"/>
      <w:bookmarkEnd w:id="6"/>
      <w:r>
        <w:rPr>
          <w:rFonts w:hint="eastAsia" w:asciiTheme="majorEastAsia" w:hAnsiTheme="majorEastAsia" w:eastAsiaTheme="majorEastAsia"/>
          <w:b/>
          <w:color w:val="auto"/>
          <w:sz w:val="28"/>
          <w:highlight w:val="none"/>
        </w:rPr>
        <w:t>采购需求</w:t>
      </w:r>
    </w:p>
    <w:p w14:paraId="71F57133">
      <w:pPr>
        <w:spacing w:line="360" w:lineRule="auto"/>
        <w:ind w:firstLine="437"/>
        <w:outlineLvl w:val="1"/>
        <w:rPr>
          <w:rFonts w:asciiTheme="majorEastAsia" w:hAnsiTheme="majorEastAsia" w:eastAsiaTheme="majorEastAsia"/>
          <w:b/>
          <w:color w:val="auto"/>
          <w:sz w:val="24"/>
          <w:szCs w:val="18"/>
          <w:highlight w:val="none"/>
        </w:rPr>
      </w:pPr>
      <w:bookmarkStart w:id="0" w:name="_Toc23100"/>
      <w:bookmarkStart w:id="1" w:name="_Toc17468"/>
      <w:bookmarkStart w:id="2" w:name="_Toc21372"/>
      <w:r>
        <w:rPr>
          <w:rFonts w:hint="eastAsia" w:asciiTheme="majorEastAsia" w:hAnsiTheme="majorEastAsia" w:eastAsiaTheme="majorEastAsia"/>
          <w:b/>
          <w:color w:val="auto"/>
          <w:sz w:val="24"/>
          <w:szCs w:val="18"/>
          <w:highlight w:val="none"/>
        </w:rPr>
        <w:t>一、采购需求前附表</w:t>
      </w:r>
      <w:bookmarkEnd w:id="0"/>
      <w:bookmarkEnd w:id="1"/>
      <w:bookmarkEnd w:id="2"/>
    </w:p>
    <w:tbl>
      <w:tblPr>
        <w:tblStyle w:val="6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6"/>
        <w:gridCol w:w="1964"/>
        <w:gridCol w:w="5912"/>
      </w:tblGrid>
      <w:tr w14:paraId="08D37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  <w:jc w:val="center"/>
        </w:trPr>
        <w:tc>
          <w:tcPr>
            <w:tcW w:w="379" w:type="pct"/>
            <w:vAlign w:val="center"/>
          </w:tcPr>
          <w:p w14:paraId="5F72B038">
            <w:pPr>
              <w:pStyle w:val="8"/>
              <w:pBdr>
                <w:bottom w:val="none" w:color="auto" w:sz="0" w:space="0"/>
              </w:pBdr>
              <w:tabs>
                <w:tab w:val="clear" w:pos="4153"/>
                <w:tab w:val="clear" w:pos="8306"/>
              </w:tabs>
              <w:adjustRightInd/>
              <w:spacing w:line="240" w:lineRule="auto"/>
              <w:textAlignment w:val="auto"/>
              <w:rPr>
                <w:rFonts w:asciiTheme="majorEastAsia" w:hAnsiTheme="majorEastAsia" w:eastAsiaTheme="majorEastAsia"/>
                <w:b/>
                <w:color w:val="auto"/>
                <w:kern w:val="2"/>
                <w:highlight w:val="none"/>
              </w:rPr>
            </w:pPr>
            <w:r>
              <w:rPr>
                <w:rFonts w:hint="eastAsia" w:asciiTheme="majorEastAsia" w:hAnsiTheme="majorEastAsia" w:eastAsiaTheme="majorEastAsia"/>
                <w:b/>
                <w:color w:val="auto"/>
                <w:kern w:val="2"/>
                <w:highlight w:val="none"/>
              </w:rPr>
              <w:t>序号</w:t>
            </w:r>
          </w:p>
        </w:tc>
        <w:tc>
          <w:tcPr>
            <w:tcW w:w="1152" w:type="pct"/>
            <w:vAlign w:val="center"/>
          </w:tcPr>
          <w:p w14:paraId="22B45AA6">
            <w:pPr>
              <w:pStyle w:val="9"/>
              <w:widowControl w:val="0"/>
              <w:spacing w:before="0" w:beforeAutospacing="0" w:after="0" w:afterAutospacing="0" w:line="360" w:lineRule="auto"/>
              <w:rPr>
                <w:rFonts w:asciiTheme="majorEastAsia" w:hAnsiTheme="majorEastAsia" w:eastAsiaTheme="majorEastAsia"/>
                <w:bCs w:val="0"/>
                <w:color w:val="auto"/>
                <w:sz w:val="24"/>
                <w:highlight w:val="none"/>
              </w:rPr>
            </w:pPr>
            <w:r>
              <w:rPr>
                <w:rFonts w:hint="eastAsia" w:asciiTheme="majorEastAsia" w:hAnsiTheme="majorEastAsia" w:eastAsiaTheme="majorEastAsia"/>
                <w:bCs w:val="0"/>
                <w:color w:val="auto"/>
                <w:sz w:val="24"/>
                <w:highlight w:val="none"/>
              </w:rPr>
              <w:t>条款名称</w:t>
            </w:r>
          </w:p>
        </w:tc>
        <w:tc>
          <w:tcPr>
            <w:tcW w:w="3468" w:type="pct"/>
            <w:vAlign w:val="center"/>
          </w:tcPr>
          <w:p w14:paraId="7F7DC2B1">
            <w:pPr>
              <w:pStyle w:val="9"/>
              <w:widowControl w:val="0"/>
              <w:spacing w:before="0" w:beforeAutospacing="0" w:after="0" w:afterAutospacing="0" w:line="360" w:lineRule="auto"/>
              <w:rPr>
                <w:rFonts w:asciiTheme="majorEastAsia" w:hAnsiTheme="majorEastAsia" w:eastAsiaTheme="majorEastAsia"/>
                <w:bCs w:val="0"/>
                <w:color w:val="auto"/>
                <w:sz w:val="24"/>
                <w:highlight w:val="none"/>
              </w:rPr>
            </w:pPr>
            <w:r>
              <w:rPr>
                <w:rFonts w:hint="eastAsia" w:asciiTheme="majorEastAsia" w:hAnsiTheme="majorEastAsia" w:eastAsiaTheme="majorEastAsia"/>
                <w:bCs w:val="0"/>
                <w:color w:val="auto"/>
                <w:sz w:val="24"/>
                <w:highlight w:val="none"/>
              </w:rPr>
              <w:t>内容、说明与要求</w:t>
            </w:r>
          </w:p>
        </w:tc>
      </w:tr>
      <w:tr w14:paraId="6B02D2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  <w:jc w:val="center"/>
        </w:trPr>
        <w:tc>
          <w:tcPr>
            <w:tcW w:w="379" w:type="pct"/>
            <w:vAlign w:val="center"/>
          </w:tcPr>
          <w:p w14:paraId="37707798">
            <w:pPr>
              <w:pStyle w:val="8"/>
              <w:pBdr>
                <w:bottom w:val="none" w:color="auto" w:sz="0" w:space="0"/>
              </w:pBdr>
              <w:tabs>
                <w:tab w:val="clear" w:pos="4153"/>
                <w:tab w:val="clear" w:pos="8306"/>
              </w:tabs>
              <w:adjustRightInd/>
              <w:spacing w:line="240" w:lineRule="auto"/>
              <w:textAlignment w:val="auto"/>
              <w:rPr>
                <w:rFonts w:asciiTheme="majorEastAsia" w:hAnsiTheme="majorEastAsia" w:eastAsiaTheme="majorEastAsia"/>
                <w:bCs/>
                <w:color w:val="auto"/>
                <w:kern w:val="2"/>
                <w:highlight w:val="none"/>
              </w:rPr>
            </w:pPr>
            <w:r>
              <w:rPr>
                <w:rFonts w:hint="eastAsia" w:asciiTheme="majorEastAsia" w:hAnsiTheme="majorEastAsia" w:eastAsiaTheme="majorEastAsia"/>
                <w:bCs/>
                <w:color w:val="auto"/>
                <w:kern w:val="2"/>
                <w:highlight w:val="none"/>
              </w:rPr>
              <w:t>1</w:t>
            </w:r>
          </w:p>
        </w:tc>
        <w:tc>
          <w:tcPr>
            <w:tcW w:w="1152" w:type="pct"/>
            <w:vAlign w:val="center"/>
          </w:tcPr>
          <w:p w14:paraId="7A108B13">
            <w:pPr>
              <w:pStyle w:val="9"/>
              <w:widowControl w:val="0"/>
              <w:spacing w:before="0" w:beforeAutospacing="0" w:after="0" w:afterAutospacing="0" w:line="360" w:lineRule="auto"/>
              <w:rPr>
                <w:rFonts w:asciiTheme="majorEastAsia" w:hAnsiTheme="majorEastAsia" w:eastAsiaTheme="majorEastAsia"/>
                <w:b w:val="0"/>
                <w:color w:val="auto"/>
                <w:sz w:val="24"/>
                <w:highlight w:val="none"/>
              </w:rPr>
            </w:pPr>
            <w:r>
              <w:rPr>
                <w:rFonts w:hint="eastAsia" w:asciiTheme="majorEastAsia" w:hAnsiTheme="majorEastAsia" w:eastAsiaTheme="majorEastAsia"/>
                <w:b w:val="0"/>
                <w:color w:val="auto"/>
                <w:sz w:val="24"/>
                <w:highlight w:val="none"/>
              </w:rPr>
              <w:t>付款方式</w:t>
            </w:r>
          </w:p>
        </w:tc>
        <w:tc>
          <w:tcPr>
            <w:tcW w:w="3468" w:type="pct"/>
            <w:vAlign w:val="center"/>
          </w:tcPr>
          <w:p w14:paraId="64A6116E">
            <w:pPr>
              <w:pStyle w:val="9"/>
              <w:widowControl w:val="0"/>
              <w:spacing w:before="0" w:beforeAutospacing="0" w:after="0" w:afterAutospacing="0" w:line="360" w:lineRule="auto"/>
              <w:jc w:val="both"/>
              <w:rPr>
                <w:rFonts w:hint="eastAsia" w:asciiTheme="majorEastAsia" w:hAnsiTheme="majorEastAsia" w:eastAsiaTheme="majorEastAsia"/>
                <w:b w:val="0"/>
                <w:color w:val="auto"/>
                <w:sz w:val="24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/>
                <w:b w:val="0"/>
                <w:color w:val="auto"/>
                <w:sz w:val="24"/>
                <w:highlight w:val="none"/>
                <w:u w:val="none"/>
              </w:rPr>
              <w:t>产品交付验收合格后，由供应商提出申请并开具足额增值税发票给予采购人，经采购人审核同意后，根据医院付款规则按项目合同价支付。</w:t>
            </w:r>
          </w:p>
          <w:p w14:paraId="36045E62">
            <w:pPr>
              <w:pStyle w:val="9"/>
              <w:widowControl w:val="0"/>
              <w:spacing w:before="0" w:beforeAutospacing="0" w:after="0" w:afterAutospacing="0" w:line="360" w:lineRule="auto"/>
              <w:jc w:val="both"/>
              <w:rPr>
                <w:rFonts w:asciiTheme="majorEastAsia" w:hAnsiTheme="majorEastAsia" w:eastAsiaTheme="majorEastAsia"/>
                <w:b w:val="0"/>
                <w:color w:val="auto"/>
                <w:sz w:val="24"/>
                <w:highlight w:val="none"/>
                <w:u w:val="single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color w:val="auto"/>
                <w:sz w:val="24"/>
                <w:highlight w:val="none"/>
                <w:u w:val="none"/>
              </w:rPr>
              <w:t>(供应商提交的响应文件中如有关于付款条件的表述与</w:t>
            </w:r>
            <w:r>
              <w:rPr>
                <w:rFonts w:hint="eastAsia" w:asciiTheme="majorEastAsia" w:hAnsiTheme="majorEastAsia" w:eastAsiaTheme="majorEastAsia"/>
                <w:b/>
                <w:bCs w:val="0"/>
                <w:color w:val="auto"/>
                <w:sz w:val="24"/>
                <w:highlight w:val="none"/>
                <w:u w:val="none"/>
                <w:lang w:val="en-US" w:eastAsia="zh-CN"/>
              </w:rPr>
              <w:t>采购</w:t>
            </w:r>
            <w:r>
              <w:rPr>
                <w:rFonts w:hint="eastAsia" w:asciiTheme="majorEastAsia" w:hAnsiTheme="majorEastAsia" w:eastAsiaTheme="majorEastAsia"/>
                <w:b/>
                <w:bCs w:val="0"/>
                <w:color w:val="auto"/>
                <w:sz w:val="24"/>
                <w:highlight w:val="none"/>
                <w:u w:val="none"/>
              </w:rPr>
              <w:t>文件规定不符，将被视为实质性不响应，将导致响应无效)</w:t>
            </w:r>
            <w:r>
              <w:rPr>
                <w:rFonts w:hint="eastAsia" w:asciiTheme="majorEastAsia" w:hAnsiTheme="majorEastAsia" w:eastAsiaTheme="majorEastAsia"/>
                <w:b w:val="0"/>
                <w:color w:val="auto"/>
                <w:sz w:val="24"/>
                <w:highlight w:val="none"/>
                <w:u w:val="none"/>
              </w:rPr>
              <w:tab/>
            </w:r>
          </w:p>
        </w:tc>
      </w:tr>
      <w:tr w14:paraId="0B032B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  <w:jc w:val="center"/>
        </w:trPr>
        <w:tc>
          <w:tcPr>
            <w:tcW w:w="379" w:type="pct"/>
            <w:vAlign w:val="center"/>
          </w:tcPr>
          <w:p w14:paraId="59BBCCB5">
            <w:pPr>
              <w:pStyle w:val="8"/>
              <w:pBdr>
                <w:bottom w:val="none" w:color="auto" w:sz="0" w:space="0"/>
              </w:pBdr>
              <w:tabs>
                <w:tab w:val="clear" w:pos="4153"/>
                <w:tab w:val="clear" w:pos="8306"/>
              </w:tabs>
              <w:adjustRightInd/>
              <w:spacing w:line="240" w:lineRule="auto"/>
              <w:textAlignment w:val="auto"/>
              <w:rPr>
                <w:rFonts w:asciiTheme="majorEastAsia" w:hAnsiTheme="majorEastAsia" w:eastAsiaTheme="majorEastAsia"/>
                <w:bCs/>
                <w:color w:val="auto"/>
                <w:kern w:val="2"/>
                <w:highlight w:val="none"/>
              </w:rPr>
            </w:pPr>
            <w:r>
              <w:rPr>
                <w:rFonts w:hint="eastAsia" w:asciiTheme="majorEastAsia" w:hAnsiTheme="majorEastAsia" w:eastAsiaTheme="majorEastAsia"/>
                <w:bCs/>
                <w:color w:val="auto"/>
                <w:kern w:val="2"/>
                <w:highlight w:val="none"/>
              </w:rPr>
              <w:t>2</w:t>
            </w:r>
          </w:p>
        </w:tc>
        <w:tc>
          <w:tcPr>
            <w:tcW w:w="1152" w:type="pct"/>
            <w:vAlign w:val="center"/>
          </w:tcPr>
          <w:p w14:paraId="27769C39">
            <w:pPr>
              <w:pStyle w:val="9"/>
              <w:widowControl w:val="0"/>
              <w:spacing w:before="0" w:beforeAutospacing="0" w:after="0" w:afterAutospacing="0" w:line="360" w:lineRule="auto"/>
              <w:rPr>
                <w:rFonts w:asciiTheme="majorEastAsia" w:hAnsiTheme="majorEastAsia" w:eastAsiaTheme="majorEastAsia"/>
                <w:b w:val="0"/>
                <w:color w:val="auto"/>
                <w:sz w:val="24"/>
                <w:highlight w:val="none"/>
              </w:rPr>
            </w:pPr>
            <w:r>
              <w:rPr>
                <w:rFonts w:hint="eastAsia" w:asciiTheme="majorEastAsia" w:hAnsiTheme="majorEastAsia" w:eastAsiaTheme="majorEastAsia"/>
                <w:b w:val="0"/>
                <w:color w:val="auto"/>
                <w:sz w:val="24"/>
                <w:highlight w:val="none"/>
              </w:rPr>
              <w:t>供货及安装地点</w:t>
            </w:r>
          </w:p>
        </w:tc>
        <w:tc>
          <w:tcPr>
            <w:tcW w:w="3468" w:type="pct"/>
            <w:vAlign w:val="center"/>
          </w:tcPr>
          <w:p w14:paraId="437571A6">
            <w:pPr>
              <w:pStyle w:val="9"/>
              <w:widowControl w:val="0"/>
              <w:spacing w:before="0" w:beforeAutospacing="0" w:after="0" w:afterAutospacing="0" w:line="360" w:lineRule="auto"/>
              <w:jc w:val="both"/>
              <w:rPr>
                <w:rFonts w:asciiTheme="majorEastAsia" w:hAnsiTheme="majorEastAsia" w:eastAsiaTheme="majorEastAsia"/>
                <w:b w:val="0"/>
                <w:color w:val="auto"/>
                <w:sz w:val="24"/>
                <w:highlight w:val="none"/>
              </w:rPr>
            </w:pPr>
            <w:r>
              <w:rPr>
                <w:rFonts w:hint="eastAsia" w:asciiTheme="minorEastAsia" w:hAnsiTheme="minorEastAsia" w:eastAsiaTheme="minorEastAsia"/>
                <w:b w:val="0"/>
                <w:bCs w:val="0"/>
                <w:sz w:val="24"/>
                <w:u w:val="none"/>
              </w:rPr>
              <w:t>采购人指定地点。</w:t>
            </w:r>
          </w:p>
        </w:tc>
      </w:tr>
      <w:tr w14:paraId="0669D2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  <w:jc w:val="center"/>
        </w:trPr>
        <w:tc>
          <w:tcPr>
            <w:tcW w:w="379" w:type="pct"/>
            <w:vAlign w:val="center"/>
          </w:tcPr>
          <w:p w14:paraId="4859E296">
            <w:pPr>
              <w:pStyle w:val="8"/>
              <w:pBdr>
                <w:bottom w:val="none" w:color="auto" w:sz="0" w:space="0"/>
              </w:pBdr>
              <w:tabs>
                <w:tab w:val="clear" w:pos="4153"/>
                <w:tab w:val="clear" w:pos="8306"/>
              </w:tabs>
              <w:adjustRightInd/>
              <w:spacing w:line="240" w:lineRule="auto"/>
              <w:textAlignment w:val="auto"/>
              <w:rPr>
                <w:rFonts w:asciiTheme="majorEastAsia" w:hAnsiTheme="majorEastAsia" w:eastAsiaTheme="majorEastAsia"/>
                <w:bCs/>
                <w:color w:val="auto"/>
                <w:kern w:val="2"/>
                <w:highlight w:val="none"/>
              </w:rPr>
            </w:pPr>
            <w:r>
              <w:rPr>
                <w:rFonts w:hint="eastAsia" w:asciiTheme="majorEastAsia" w:hAnsiTheme="majorEastAsia" w:eastAsiaTheme="majorEastAsia"/>
                <w:bCs/>
                <w:color w:val="auto"/>
                <w:kern w:val="2"/>
                <w:highlight w:val="none"/>
              </w:rPr>
              <w:t>3</w:t>
            </w:r>
          </w:p>
        </w:tc>
        <w:tc>
          <w:tcPr>
            <w:tcW w:w="1152" w:type="pct"/>
            <w:vAlign w:val="center"/>
          </w:tcPr>
          <w:p w14:paraId="3904D850">
            <w:pPr>
              <w:pStyle w:val="9"/>
              <w:widowControl w:val="0"/>
              <w:spacing w:before="0" w:beforeAutospacing="0" w:after="0" w:afterAutospacing="0" w:line="360" w:lineRule="auto"/>
              <w:rPr>
                <w:rFonts w:asciiTheme="majorEastAsia" w:hAnsiTheme="majorEastAsia" w:eastAsiaTheme="majorEastAsia"/>
                <w:b w:val="0"/>
                <w:color w:val="auto"/>
                <w:sz w:val="24"/>
                <w:highlight w:val="none"/>
              </w:rPr>
            </w:pPr>
            <w:r>
              <w:rPr>
                <w:rFonts w:hint="eastAsia" w:asciiTheme="majorEastAsia" w:hAnsiTheme="majorEastAsia" w:eastAsiaTheme="majorEastAsia"/>
                <w:b w:val="0"/>
                <w:color w:val="auto"/>
                <w:sz w:val="24"/>
                <w:highlight w:val="none"/>
              </w:rPr>
              <w:t>供货及安装期限</w:t>
            </w:r>
          </w:p>
        </w:tc>
        <w:tc>
          <w:tcPr>
            <w:tcW w:w="3468" w:type="pct"/>
            <w:vAlign w:val="center"/>
          </w:tcPr>
          <w:p w14:paraId="362F9703">
            <w:pPr>
              <w:pStyle w:val="9"/>
              <w:widowControl w:val="0"/>
              <w:spacing w:before="0" w:beforeAutospacing="0" w:after="0" w:afterAutospacing="0" w:line="360" w:lineRule="auto"/>
              <w:jc w:val="both"/>
              <w:rPr>
                <w:rFonts w:asciiTheme="majorEastAsia" w:hAnsiTheme="majorEastAsia" w:eastAsiaTheme="majorEastAsia"/>
                <w:b w:val="0"/>
                <w:color w:val="auto"/>
                <w:sz w:val="24"/>
                <w:highlight w:val="none"/>
              </w:rPr>
            </w:pPr>
            <w:r>
              <w:rPr>
                <w:rFonts w:hint="eastAsia" w:asciiTheme="majorEastAsia" w:hAnsiTheme="majorEastAsia" w:eastAsiaTheme="majorEastAsia"/>
                <w:b w:val="0"/>
                <w:color w:val="auto"/>
                <w:sz w:val="24"/>
                <w:highlight w:val="none"/>
              </w:rPr>
              <w:t>合同生效后</w:t>
            </w:r>
            <w:r>
              <w:rPr>
                <w:rFonts w:hint="eastAsia" w:asciiTheme="majorEastAsia" w:hAnsiTheme="majorEastAsia" w:eastAsiaTheme="majorEastAsia"/>
                <w:b w:val="0"/>
                <w:color w:val="auto"/>
                <w:sz w:val="24"/>
                <w:highlight w:val="none"/>
                <w:u w:val="single"/>
              </w:rPr>
              <w:t xml:space="preserve"> </w:t>
            </w:r>
            <w:r>
              <w:rPr>
                <w:rFonts w:hint="eastAsia" w:asciiTheme="majorEastAsia" w:hAnsiTheme="majorEastAsia" w:eastAsiaTheme="majorEastAsia"/>
                <w:b w:val="0"/>
                <w:color w:val="auto"/>
                <w:sz w:val="24"/>
                <w:highlight w:val="none"/>
                <w:u w:val="single"/>
                <w:lang w:val="en-US" w:eastAsia="zh-CN"/>
              </w:rPr>
              <w:t>30日</w:t>
            </w:r>
            <w:r>
              <w:rPr>
                <w:rFonts w:hint="eastAsia" w:asciiTheme="majorEastAsia" w:hAnsiTheme="majorEastAsia" w:eastAsiaTheme="majorEastAsia"/>
                <w:b w:val="0"/>
                <w:color w:val="auto"/>
                <w:sz w:val="24"/>
                <w:highlight w:val="none"/>
                <w:u w:val="single"/>
              </w:rPr>
              <w:t xml:space="preserve"> </w:t>
            </w:r>
          </w:p>
        </w:tc>
      </w:tr>
      <w:tr w14:paraId="6F6D29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  <w:jc w:val="center"/>
        </w:trPr>
        <w:tc>
          <w:tcPr>
            <w:tcW w:w="379" w:type="pct"/>
            <w:vAlign w:val="center"/>
          </w:tcPr>
          <w:p w14:paraId="535BB7BD">
            <w:pPr>
              <w:pStyle w:val="8"/>
              <w:pBdr>
                <w:bottom w:val="none" w:color="auto" w:sz="0" w:space="0"/>
              </w:pBdr>
              <w:tabs>
                <w:tab w:val="clear" w:pos="4153"/>
                <w:tab w:val="clear" w:pos="8306"/>
              </w:tabs>
              <w:adjustRightInd/>
              <w:spacing w:line="240" w:lineRule="auto"/>
              <w:textAlignment w:val="auto"/>
              <w:rPr>
                <w:rFonts w:asciiTheme="majorEastAsia" w:hAnsiTheme="majorEastAsia" w:eastAsiaTheme="majorEastAsia"/>
                <w:bCs/>
                <w:color w:val="auto"/>
                <w:kern w:val="2"/>
                <w:highlight w:val="none"/>
              </w:rPr>
            </w:pPr>
            <w:r>
              <w:rPr>
                <w:rFonts w:hint="eastAsia" w:asciiTheme="majorEastAsia" w:hAnsiTheme="majorEastAsia" w:eastAsiaTheme="majorEastAsia"/>
                <w:bCs/>
                <w:color w:val="auto"/>
                <w:kern w:val="2"/>
                <w:highlight w:val="none"/>
              </w:rPr>
              <w:t>4</w:t>
            </w:r>
          </w:p>
        </w:tc>
        <w:tc>
          <w:tcPr>
            <w:tcW w:w="1152" w:type="pct"/>
            <w:vAlign w:val="center"/>
          </w:tcPr>
          <w:p w14:paraId="61C57B85">
            <w:pPr>
              <w:pStyle w:val="9"/>
              <w:widowControl w:val="0"/>
              <w:spacing w:before="0" w:beforeAutospacing="0" w:after="0" w:afterAutospacing="0" w:line="360" w:lineRule="auto"/>
              <w:rPr>
                <w:rFonts w:asciiTheme="majorEastAsia" w:hAnsiTheme="majorEastAsia" w:eastAsiaTheme="majorEastAsia"/>
                <w:b w:val="0"/>
                <w:color w:val="auto"/>
                <w:sz w:val="24"/>
                <w:highlight w:val="none"/>
              </w:rPr>
            </w:pPr>
            <w:r>
              <w:rPr>
                <w:rFonts w:hint="eastAsia" w:asciiTheme="majorEastAsia" w:hAnsiTheme="majorEastAsia" w:eastAsiaTheme="majorEastAsia"/>
                <w:b w:val="0"/>
                <w:color w:val="auto"/>
                <w:sz w:val="24"/>
                <w:highlight w:val="none"/>
              </w:rPr>
              <w:t>免费质保期</w:t>
            </w:r>
          </w:p>
        </w:tc>
        <w:tc>
          <w:tcPr>
            <w:tcW w:w="3468" w:type="pct"/>
            <w:vAlign w:val="center"/>
          </w:tcPr>
          <w:p w14:paraId="68225CB4">
            <w:pPr>
              <w:pStyle w:val="9"/>
              <w:widowControl w:val="0"/>
              <w:spacing w:before="0" w:beforeAutospacing="0" w:after="0" w:afterAutospacing="0" w:line="360" w:lineRule="auto"/>
              <w:jc w:val="both"/>
              <w:rPr>
                <w:rFonts w:asciiTheme="majorEastAsia" w:hAnsiTheme="majorEastAsia" w:eastAsiaTheme="majorEastAsia"/>
                <w:b w:val="0"/>
                <w:color w:val="auto"/>
                <w:sz w:val="24"/>
                <w:highlight w:val="none"/>
              </w:rPr>
            </w:pPr>
            <w:r>
              <w:rPr>
                <w:rFonts w:hint="eastAsia" w:asciiTheme="majorEastAsia" w:hAnsiTheme="majorEastAsia" w:eastAsiaTheme="majorEastAsia"/>
                <w:b w:val="0"/>
                <w:color w:val="auto"/>
                <w:sz w:val="24"/>
                <w:highlight w:val="none"/>
              </w:rPr>
              <w:t>验收合格之日起</w:t>
            </w:r>
            <w:r>
              <w:rPr>
                <w:rFonts w:hint="eastAsia" w:asciiTheme="majorEastAsia" w:hAnsiTheme="majorEastAsia" w:eastAsiaTheme="majorEastAsia"/>
                <w:b w:val="0"/>
                <w:color w:val="auto"/>
                <w:sz w:val="24"/>
                <w:highlight w:val="none"/>
                <w:u w:val="single"/>
              </w:rPr>
              <w:t xml:space="preserve">  </w:t>
            </w:r>
            <w:r>
              <w:rPr>
                <w:rFonts w:hint="eastAsia" w:asciiTheme="majorEastAsia" w:hAnsiTheme="majorEastAsia" w:eastAsiaTheme="majorEastAsia"/>
                <w:b w:val="0"/>
                <w:color w:val="auto"/>
                <w:sz w:val="24"/>
                <w:highlight w:val="none"/>
                <w:u w:val="single"/>
                <w:lang w:val="en-US" w:eastAsia="zh-CN"/>
              </w:rPr>
              <w:t>3年</w:t>
            </w:r>
            <w:r>
              <w:rPr>
                <w:rFonts w:hint="eastAsia" w:asciiTheme="majorEastAsia" w:hAnsiTheme="majorEastAsia" w:eastAsiaTheme="majorEastAsia"/>
                <w:b w:val="0"/>
                <w:color w:val="auto"/>
                <w:sz w:val="24"/>
                <w:highlight w:val="none"/>
                <w:u w:val="single"/>
              </w:rPr>
              <w:t xml:space="preserve"> </w:t>
            </w:r>
          </w:p>
        </w:tc>
      </w:tr>
    </w:tbl>
    <w:p w14:paraId="7E31D9FC">
      <w:pPr>
        <w:spacing w:line="360" w:lineRule="auto"/>
        <w:ind w:firstLine="437"/>
        <w:outlineLvl w:val="1"/>
        <w:rPr>
          <w:rFonts w:hint="eastAsia" w:asciiTheme="majorEastAsia" w:hAnsiTheme="majorEastAsia" w:eastAsiaTheme="majorEastAsia"/>
          <w:b/>
          <w:bCs/>
          <w:color w:val="auto"/>
          <w:sz w:val="24"/>
          <w:szCs w:val="18"/>
          <w:highlight w:val="none"/>
          <w:lang w:val="en-US" w:eastAsia="zh-CN"/>
        </w:rPr>
      </w:pPr>
      <w:bookmarkStart w:id="3" w:name="_Toc16968"/>
      <w:bookmarkStart w:id="4" w:name="_Toc31924"/>
      <w:bookmarkStart w:id="5" w:name="_Toc9670"/>
      <w:r>
        <w:rPr>
          <w:rFonts w:hint="eastAsia" w:asciiTheme="majorEastAsia" w:hAnsiTheme="majorEastAsia" w:eastAsiaTheme="majorEastAsia"/>
          <w:b/>
          <w:bCs/>
          <w:color w:val="auto"/>
          <w:sz w:val="24"/>
          <w:szCs w:val="18"/>
          <w:highlight w:val="none"/>
          <w:lang w:val="en-US" w:eastAsia="zh-CN"/>
        </w:rPr>
        <w:t>二、技术参数：</w:t>
      </w:r>
    </w:p>
    <w:p w14:paraId="4689C483">
      <w:pPr>
        <w:spacing w:line="360" w:lineRule="auto"/>
        <w:ind w:firstLine="3388" w:firstLineChars="1406"/>
        <w:outlineLvl w:val="1"/>
        <w:rPr>
          <w:rFonts w:hint="eastAsia" w:asciiTheme="majorEastAsia" w:hAnsiTheme="majorEastAsia" w:eastAsiaTheme="majorEastAsia"/>
          <w:b/>
          <w:bCs/>
          <w:color w:val="auto"/>
          <w:sz w:val="24"/>
          <w:szCs w:val="18"/>
          <w:highlight w:val="none"/>
          <w:lang w:val="en-US" w:eastAsia="zh-CN"/>
        </w:rPr>
      </w:pPr>
      <w:r>
        <w:rPr>
          <w:rFonts w:hint="eastAsia" w:asciiTheme="majorEastAsia" w:hAnsiTheme="majorEastAsia" w:eastAsiaTheme="majorEastAsia"/>
          <w:b/>
          <w:bCs/>
          <w:color w:val="auto"/>
          <w:sz w:val="24"/>
          <w:szCs w:val="18"/>
          <w:highlight w:val="none"/>
          <w:lang w:val="en-US" w:eastAsia="zh-CN"/>
        </w:rPr>
        <w:t>VTE治疗仪</w:t>
      </w:r>
    </w:p>
    <w:p w14:paraId="6B20AD2F">
      <w:pPr>
        <w:spacing w:line="360" w:lineRule="auto"/>
        <w:ind w:firstLine="437"/>
        <w:outlineLvl w:val="1"/>
        <w:rPr>
          <w:rFonts w:hint="eastAsia" w:asciiTheme="majorEastAsia" w:hAnsiTheme="majorEastAsia" w:eastAsiaTheme="majorEastAsia"/>
          <w:b w:val="0"/>
          <w:bCs w:val="0"/>
          <w:color w:val="auto"/>
          <w:sz w:val="24"/>
          <w:szCs w:val="18"/>
          <w:highlight w:val="none"/>
          <w:lang w:val="en-US" w:eastAsia="zh-CN"/>
        </w:rPr>
      </w:pPr>
      <w:r>
        <w:rPr>
          <w:rFonts w:hint="eastAsia" w:asciiTheme="majorEastAsia" w:hAnsiTheme="majorEastAsia" w:eastAsiaTheme="majorEastAsia"/>
          <w:b w:val="0"/>
          <w:bCs w:val="0"/>
          <w:color w:val="auto"/>
          <w:sz w:val="24"/>
          <w:szCs w:val="18"/>
          <w:highlight w:val="none"/>
          <w:lang w:val="en-US" w:eastAsia="zh-CN"/>
        </w:rPr>
        <w:t>1.智能腿套识别：自动识别气囊种类，并配置相应压力，自动运行。</w:t>
      </w:r>
    </w:p>
    <w:p w14:paraId="6DF41B53">
      <w:pPr>
        <w:spacing w:line="360" w:lineRule="auto"/>
        <w:ind w:firstLine="437"/>
        <w:outlineLvl w:val="1"/>
        <w:rPr>
          <w:rFonts w:hint="eastAsia" w:asciiTheme="majorEastAsia" w:hAnsiTheme="majorEastAsia" w:eastAsiaTheme="majorEastAsia"/>
          <w:b w:val="0"/>
          <w:bCs w:val="0"/>
          <w:color w:val="auto"/>
          <w:sz w:val="24"/>
          <w:szCs w:val="18"/>
          <w:highlight w:val="none"/>
          <w:lang w:val="en-US" w:eastAsia="zh-CN"/>
        </w:rPr>
      </w:pPr>
      <w:r>
        <w:rPr>
          <w:rFonts w:hint="eastAsia" w:asciiTheme="majorEastAsia" w:hAnsiTheme="majorEastAsia" w:eastAsiaTheme="majorEastAsia"/>
          <w:b w:val="0"/>
          <w:bCs w:val="0"/>
          <w:color w:val="auto"/>
          <w:sz w:val="24"/>
          <w:szCs w:val="18"/>
          <w:highlight w:val="none"/>
          <w:lang w:val="en-US" w:eastAsia="zh-CN"/>
        </w:rPr>
        <w:t>2.单腔零压跳过：单腔压力可调，零压跳过，避开伤口部位，个性化治疗。</w:t>
      </w:r>
    </w:p>
    <w:p w14:paraId="3C00437D">
      <w:pPr>
        <w:spacing w:line="360" w:lineRule="auto"/>
        <w:ind w:firstLine="437"/>
        <w:outlineLvl w:val="1"/>
        <w:rPr>
          <w:rFonts w:hint="eastAsia" w:asciiTheme="majorEastAsia" w:hAnsiTheme="majorEastAsia" w:eastAsiaTheme="majorEastAsia"/>
          <w:b w:val="0"/>
          <w:bCs w:val="0"/>
          <w:color w:val="auto"/>
          <w:sz w:val="24"/>
          <w:szCs w:val="18"/>
          <w:highlight w:val="none"/>
          <w:lang w:val="en-US" w:eastAsia="zh-CN"/>
        </w:rPr>
      </w:pPr>
      <w:r>
        <w:rPr>
          <w:rFonts w:hint="eastAsia" w:asciiTheme="majorEastAsia" w:hAnsiTheme="majorEastAsia" w:eastAsiaTheme="majorEastAsia"/>
          <w:b w:val="0"/>
          <w:bCs w:val="0"/>
          <w:color w:val="auto"/>
          <w:sz w:val="24"/>
          <w:szCs w:val="18"/>
          <w:highlight w:val="none"/>
          <w:lang w:val="en-US" w:eastAsia="zh-CN"/>
        </w:rPr>
        <w:t>3.安全压力范围：腿部抗栓0-80mmHg可调，且必须为梯度序贯压力，从远心端向近心端梯度压力自动递减，保证静脉血流单向回心，不损伤静脉瓣;足部抗栓100-200mmHg。</w:t>
      </w:r>
    </w:p>
    <w:p w14:paraId="4A9F2E49">
      <w:pPr>
        <w:spacing w:line="360" w:lineRule="auto"/>
        <w:ind w:firstLine="437"/>
        <w:outlineLvl w:val="1"/>
        <w:rPr>
          <w:rFonts w:hint="eastAsia" w:asciiTheme="majorEastAsia" w:hAnsiTheme="majorEastAsia" w:eastAsiaTheme="majorEastAsia"/>
          <w:b w:val="0"/>
          <w:bCs w:val="0"/>
          <w:color w:val="auto"/>
          <w:sz w:val="24"/>
          <w:szCs w:val="18"/>
          <w:highlight w:val="none"/>
          <w:lang w:val="en-US" w:eastAsia="zh-CN"/>
        </w:rPr>
      </w:pPr>
      <w:r>
        <w:rPr>
          <w:rFonts w:hint="eastAsia" w:asciiTheme="majorEastAsia" w:hAnsiTheme="majorEastAsia" w:eastAsiaTheme="majorEastAsia"/>
          <w:b w:val="0"/>
          <w:bCs w:val="0"/>
          <w:color w:val="auto"/>
          <w:sz w:val="24"/>
          <w:szCs w:val="18"/>
          <w:highlight w:val="none"/>
          <w:lang w:val="en-US" w:eastAsia="zh-CN"/>
        </w:rPr>
        <w:t>4.对肢体施加周期性连续、圆周、梯度压力，从远心端向近心端梯度压力自动递减。</w:t>
      </w:r>
    </w:p>
    <w:p w14:paraId="794656A5">
      <w:pPr>
        <w:spacing w:line="360" w:lineRule="auto"/>
        <w:ind w:firstLine="437"/>
        <w:outlineLvl w:val="1"/>
        <w:rPr>
          <w:rFonts w:hint="eastAsia" w:asciiTheme="majorEastAsia" w:hAnsiTheme="majorEastAsia" w:eastAsiaTheme="majorEastAsia"/>
          <w:b w:val="0"/>
          <w:bCs w:val="0"/>
          <w:color w:val="auto"/>
          <w:sz w:val="24"/>
          <w:szCs w:val="18"/>
          <w:highlight w:val="none"/>
          <w:lang w:val="en-US" w:eastAsia="zh-CN"/>
        </w:rPr>
      </w:pPr>
      <w:r>
        <w:rPr>
          <w:rFonts w:hint="eastAsia" w:asciiTheme="majorEastAsia" w:hAnsiTheme="majorEastAsia" w:eastAsiaTheme="majorEastAsia"/>
          <w:b w:val="0"/>
          <w:bCs w:val="0"/>
          <w:color w:val="auto"/>
          <w:sz w:val="24"/>
          <w:szCs w:val="18"/>
          <w:highlight w:val="none"/>
          <w:lang w:val="en-US" w:eastAsia="zh-CN"/>
        </w:rPr>
        <w:t>5.快速充放气，腿套充盈时间＜12s。</w:t>
      </w:r>
    </w:p>
    <w:p w14:paraId="134AEEE2">
      <w:pPr>
        <w:spacing w:line="360" w:lineRule="auto"/>
        <w:ind w:firstLine="437"/>
        <w:outlineLvl w:val="1"/>
        <w:rPr>
          <w:rFonts w:hint="eastAsia" w:asciiTheme="majorEastAsia" w:hAnsiTheme="majorEastAsia" w:eastAsiaTheme="majorEastAsia"/>
          <w:b w:val="0"/>
          <w:bCs w:val="0"/>
          <w:color w:val="auto"/>
          <w:sz w:val="24"/>
          <w:szCs w:val="18"/>
          <w:highlight w:val="none"/>
          <w:lang w:val="en-US" w:eastAsia="zh-CN"/>
        </w:rPr>
      </w:pPr>
      <w:r>
        <w:rPr>
          <w:rFonts w:hint="eastAsia" w:asciiTheme="majorEastAsia" w:hAnsiTheme="majorEastAsia" w:eastAsiaTheme="majorEastAsia"/>
          <w:b w:val="0"/>
          <w:bCs w:val="0"/>
          <w:color w:val="auto"/>
          <w:sz w:val="24"/>
          <w:szCs w:val="18"/>
          <w:highlight w:val="none"/>
          <w:lang w:val="en-US" w:eastAsia="zh-CN"/>
        </w:rPr>
        <w:t>6.间歇时间范围0-90s可调，默认40s，自动运行。</w:t>
      </w:r>
    </w:p>
    <w:p w14:paraId="49DD9AD8">
      <w:pPr>
        <w:spacing w:line="360" w:lineRule="auto"/>
        <w:ind w:firstLine="437"/>
        <w:outlineLvl w:val="1"/>
        <w:rPr>
          <w:rFonts w:hint="eastAsia" w:asciiTheme="majorEastAsia" w:hAnsiTheme="majorEastAsia" w:eastAsiaTheme="majorEastAsia"/>
          <w:b w:val="0"/>
          <w:bCs w:val="0"/>
          <w:color w:val="auto"/>
          <w:sz w:val="24"/>
          <w:szCs w:val="18"/>
          <w:highlight w:val="none"/>
          <w:lang w:val="en-US" w:eastAsia="zh-CN"/>
        </w:rPr>
      </w:pPr>
      <w:r>
        <w:rPr>
          <w:rFonts w:hint="eastAsia" w:asciiTheme="majorEastAsia" w:hAnsiTheme="majorEastAsia" w:eastAsiaTheme="majorEastAsia"/>
          <w:b w:val="0"/>
          <w:bCs w:val="0"/>
          <w:color w:val="auto"/>
          <w:sz w:val="24"/>
          <w:szCs w:val="18"/>
          <w:highlight w:val="none"/>
          <w:lang w:val="en-US" w:eastAsia="zh-CN"/>
        </w:rPr>
        <w:t>7.预防血栓形成专用气囊：大腿套、小腿套、足套；支持双腿、单腿、双足、单足、一腿一足等多种临床使用需求，支持每腔压力单独可调。</w:t>
      </w:r>
    </w:p>
    <w:p w14:paraId="50DE7D91">
      <w:pPr>
        <w:spacing w:line="360" w:lineRule="auto"/>
        <w:ind w:firstLine="437"/>
        <w:outlineLvl w:val="1"/>
        <w:rPr>
          <w:rFonts w:hint="eastAsia" w:asciiTheme="majorEastAsia" w:hAnsiTheme="majorEastAsia" w:eastAsiaTheme="majorEastAsia"/>
          <w:b w:val="0"/>
          <w:bCs w:val="0"/>
          <w:color w:val="auto"/>
          <w:sz w:val="24"/>
          <w:szCs w:val="18"/>
          <w:highlight w:val="none"/>
          <w:lang w:val="en-US" w:eastAsia="zh-CN"/>
        </w:rPr>
      </w:pPr>
      <w:r>
        <w:rPr>
          <w:rFonts w:hint="eastAsia" w:asciiTheme="majorEastAsia" w:hAnsiTheme="majorEastAsia" w:eastAsiaTheme="majorEastAsia"/>
          <w:b w:val="0"/>
          <w:bCs w:val="0"/>
          <w:color w:val="auto"/>
          <w:sz w:val="24"/>
          <w:szCs w:val="18"/>
          <w:highlight w:val="none"/>
          <w:lang w:val="en-US" w:eastAsia="zh-CN"/>
        </w:rPr>
        <w:t>8.腿套设计避开腘窝，禁止对腘静脉产生压迫。</w:t>
      </w:r>
    </w:p>
    <w:p w14:paraId="5DDAFFF1">
      <w:pPr>
        <w:spacing w:line="360" w:lineRule="auto"/>
        <w:ind w:firstLine="437"/>
        <w:outlineLvl w:val="1"/>
        <w:rPr>
          <w:rFonts w:hint="eastAsia" w:asciiTheme="majorEastAsia" w:hAnsiTheme="majorEastAsia" w:eastAsiaTheme="majorEastAsia"/>
          <w:b w:val="0"/>
          <w:bCs w:val="0"/>
          <w:color w:val="auto"/>
          <w:sz w:val="24"/>
          <w:szCs w:val="18"/>
          <w:highlight w:val="none"/>
          <w:lang w:val="en-US" w:eastAsia="zh-CN"/>
        </w:rPr>
      </w:pPr>
      <w:r>
        <w:rPr>
          <w:rFonts w:hint="eastAsia" w:asciiTheme="majorEastAsia" w:hAnsiTheme="majorEastAsia" w:eastAsiaTheme="majorEastAsia"/>
          <w:b w:val="0"/>
          <w:bCs w:val="0"/>
          <w:color w:val="auto"/>
          <w:sz w:val="24"/>
          <w:szCs w:val="18"/>
          <w:highlight w:val="none"/>
          <w:lang w:val="en-US" w:eastAsia="zh-CN"/>
        </w:rPr>
        <w:t>9.单人型/耐用型腿套可选，单人型腿套可避免交叉感染。压力套具有医疗器械注册证或一类产品备案。</w:t>
      </w:r>
    </w:p>
    <w:p w14:paraId="1CBA690B">
      <w:pPr>
        <w:spacing w:line="360" w:lineRule="auto"/>
        <w:ind w:firstLine="437"/>
        <w:outlineLvl w:val="1"/>
        <w:rPr>
          <w:rFonts w:hint="eastAsia" w:asciiTheme="majorEastAsia" w:hAnsiTheme="majorEastAsia" w:eastAsiaTheme="majorEastAsia"/>
          <w:b w:val="0"/>
          <w:bCs w:val="0"/>
          <w:color w:val="auto"/>
          <w:sz w:val="24"/>
          <w:szCs w:val="18"/>
          <w:highlight w:val="none"/>
          <w:lang w:val="en-US" w:eastAsia="zh-CN"/>
        </w:rPr>
      </w:pPr>
      <w:r>
        <w:rPr>
          <w:rFonts w:hint="eastAsia" w:asciiTheme="majorEastAsia" w:hAnsiTheme="majorEastAsia" w:eastAsiaTheme="majorEastAsia"/>
          <w:b w:val="0"/>
          <w:bCs w:val="0"/>
          <w:color w:val="auto"/>
          <w:sz w:val="24"/>
          <w:szCs w:val="18"/>
          <w:highlight w:val="none"/>
          <w:lang w:val="en-US" w:eastAsia="zh-CN"/>
        </w:rPr>
        <w:t>10.两路物理通道，一体化成型气管，没有沟槽。</w:t>
      </w:r>
    </w:p>
    <w:p w14:paraId="311EBA54">
      <w:pPr>
        <w:spacing w:line="360" w:lineRule="auto"/>
        <w:ind w:firstLine="437"/>
        <w:outlineLvl w:val="1"/>
        <w:rPr>
          <w:rFonts w:hint="eastAsia" w:asciiTheme="majorEastAsia" w:hAnsiTheme="majorEastAsia" w:eastAsiaTheme="majorEastAsia"/>
          <w:b w:val="0"/>
          <w:bCs w:val="0"/>
          <w:color w:val="auto"/>
          <w:sz w:val="24"/>
          <w:szCs w:val="18"/>
          <w:highlight w:val="none"/>
          <w:lang w:val="en-US" w:eastAsia="zh-CN"/>
        </w:rPr>
      </w:pPr>
      <w:r>
        <w:rPr>
          <w:rFonts w:hint="eastAsia" w:asciiTheme="majorEastAsia" w:hAnsiTheme="majorEastAsia" w:eastAsiaTheme="majorEastAsia"/>
          <w:b w:val="0"/>
          <w:bCs w:val="0"/>
          <w:color w:val="auto"/>
          <w:sz w:val="24"/>
          <w:szCs w:val="18"/>
          <w:highlight w:val="none"/>
          <w:lang w:val="en-US" w:eastAsia="zh-CN"/>
        </w:rPr>
        <w:t>11.双肢体同步加压与步态仿生交替加压均可。</w:t>
      </w:r>
    </w:p>
    <w:p w14:paraId="0DE5F4CF">
      <w:pPr>
        <w:spacing w:line="360" w:lineRule="auto"/>
        <w:ind w:firstLine="437"/>
        <w:outlineLvl w:val="1"/>
        <w:rPr>
          <w:rFonts w:hint="eastAsia" w:asciiTheme="majorEastAsia" w:hAnsiTheme="majorEastAsia" w:eastAsiaTheme="majorEastAsia"/>
          <w:b w:val="0"/>
          <w:bCs w:val="0"/>
          <w:color w:val="auto"/>
          <w:sz w:val="24"/>
          <w:szCs w:val="18"/>
          <w:highlight w:val="none"/>
          <w:lang w:val="en-US" w:eastAsia="zh-CN"/>
        </w:rPr>
      </w:pPr>
      <w:r>
        <w:rPr>
          <w:rFonts w:hint="eastAsia" w:asciiTheme="majorEastAsia" w:hAnsiTheme="majorEastAsia" w:eastAsiaTheme="majorEastAsia"/>
          <w:b w:val="0"/>
          <w:bCs w:val="0"/>
          <w:color w:val="auto"/>
          <w:sz w:val="24"/>
          <w:szCs w:val="18"/>
          <w:highlight w:val="none"/>
          <w:lang w:val="en-US" w:eastAsia="zh-CN"/>
        </w:rPr>
        <w:t>12.体积小：≤22*13*18cm，重量轻：≤2.2Kg。</w:t>
      </w:r>
    </w:p>
    <w:p w14:paraId="6121026D">
      <w:pPr>
        <w:spacing w:line="360" w:lineRule="auto"/>
        <w:ind w:firstLine="437"/>
        <w:outlineLvl w:val="1"/>
        <w:rPr>
          <w:rFonts w:hint="eastAsia" w:asciiTheme="majorEastAsia" w:hAnsiTheme="majorEastAsia" w:eastAsiaTheme="majorEastAsia"/>
          <w:b w:val="0"/>
          <w:bCs w:val="0"/>
          <w:color w:val="auto"/>
          <w:sz w:val="24"/>
          <w:szCs w:val="18"/>
          <w:highlight w:val="none"/>
          <w:lang w:val="en-US" w:eastAsia="zh-CN"/>
        </w:rPr>
      </w:pPr>
      <w:r>
        <w:rPr>
          <w:rFonts w:hint="eastAsia" w:asciiTheme="majorEastAsia" w:hAnsiTheme="majorEastAsia" w:eastAsiaTheme="majorEastAsia"/>
          <w:b w:val="0"/>
          <w:bCs w:val="0"/>
          <w:color w:val="auto"/>
          <w:sz w:val="24"/>
          <w:szCs w:val="18"/>
          <w:highlight w:val="none"/>
          <w:lang w:val="en-US" w:eastAsia="zh-CN"/>
        </w:rPr>
        <w:t>13.噪音≤40dB。</w:t>
      </w:r>
    </w:p>
    <w:p w14:paraId="540C6FBB">
      <w:pPr>
        <w:spacing w:line="360" w:lineRule="auto"/>
        <w:ind w:firstLine="437"/>
        <w:outlineLvl w:val="1"/>
        <w:rPr>
          <w:rFonts w:hint="eastAsia" w:asciiTheme="majorEastAsia" w:hAnsiTheme="majorEastAsia" w:eastAsiaTheme="majorEastAsia"/>
          <w:b w:val="0"/>
          <w:bCs w:val="0"/>
          <w:color w:val="auto"/>
          <w:sz w:val="24"/>
          <w:szCs w:val="18"/>
          <w:highlight w:val="none"/>
          <w:lang w:val="en-US" w:eastAsia="zh-CN"/>
        </w:rPr>
      </w:pPr>
      <w:r>
        <w:rPr>
          <w:rFonts w:hint="eastAsia" w:asciiTheme="majorEastAsia" w:hAnsiTheme="majorEastAsia" w:eastAsiaTheme="majorEastAsia"/>
          <w:b w:val="0"/>
          <w:bCs w:val="0"/>
          <w:color w:val="auto"/>
          <w:sz w:val="24"/>
          <w:szCs w:val="18"/>
          <w:highlight w:val="none"/>
          <w:lang w:val="en-US" w:eastAsia="zh-CN"/>
        </w:rPr>
        <w:t>14.内置锂电池：满负荷运行高于10小时，待机可达25小时。</w:t>
      </w:r>
    </w:p>
    <w:p w14:paraId="0E521288">
      <w:pPr>
        <w:spacing w:line="360" w:lineRule="auto"/>
        <w:ind w:firstLine="437"/>
        <w:outlineLvl w:val="1"/>
        <w:rPr>
          <w:rFonts w:hint="eastAsia" w:asciiTheme="majorEastAsia" w:hAnsiTheme="majorEastAsia" w:eastAsiaTheme="majorEastAsia"/>
          <w:b w:val="0"/>
          <w:bCs w:val="0"/>
          <w:color w:val="auto"/>
          <w:sz w:val="24"/>
          <w:szCs w:val="18"/>
          <w:highlight w:val="none"/>
          <w:lang w:val="en-US" w:eastAsia="zh-CN"/>
        </w:rPr>
      </w:pPr>
      <w:r>
        <w:rPr>
          <w:rFonts w:hint="eastAsia" w:asciiTheme="majorEastAsia" w:hAnsiTheme="majorEastAsia" w:eastAsiaTheme="majorEastAsia"/>
          <w:b w:val="0"/>
          <w:bCs w:val="0"/>
          <w:color w:val="auto"/>
          <w:sz w:val="24"/>
          <w:szCs w:val="18"/>
          <w:highlight w:val="none"/>
          <w:lang w:val="en-US" w:eastAsia="zh-CN"/>
        </w:rPr>
        <w:t>15.操作方式：彩色液晶触摸屏，治疗界面可实时显示治疗压力、治疗部位、套筒类型。</w:t>
      </w:r>
    </w:p>
    <w:p w14:paraId="6358BA10">
      <w:pPr>
        <w:spacing w:line="360" w:lineRule="auto"/>
        <w:ind w:firstLine="437"/>
        <w:outlineLvl w:val="1"/>
        <w:rPr>
          <w:rFonts w:hint="eastAsia" w:asciiTheme="majorEastAsia" w:hAnsiTheme="majorEastAsia" w:eastAsiaTheme="majorEastAsia"/>
          <w:b w:val="0"/>
          <w:bCs w:val="0"/>
          <w:color w:val="auto"/>
          <w:sz w:val="24"/>
          <w:szCs w:val="18"/>
          <w:highlight w:val="none"/>
          <w:lang w:val="en-US" w:eastAsia="zh-CN"/>
        </w:rPr>
      </w:pPr>
      <w:r>
        <w:rPr>
          <w:rFonts w:hint="eastAsia" w:asciiTheme="majorEastAsia" w:hAnsiTheme="majorEastAsia" w:eastAsiaTheme="majorEastAsia"/>
          <w:b w:val="0"/>
          <w:bCs w:val="0"/>
          <w:color w:val="auto"/>
          <w:sz w:val="24"/>
          <w:szCs w:val="18"/>
          <w:highlight w:val="none"/>
          <w:lang w:val="en-US" w:eastAsia="zh-CN"/>
        </w:rPr>
        <w:t xml:space="preserve">16.操控、运行状态等语音提示功能，视觉、听觉双重确认。 </w:t>
      </w:r>
    </w:p>
    <w:p w14:paraId="54DF3180">
      <w:pPr>
        <w:spacing w:line="360" w:lineRule="auto"/>
        <w:ind w:firstLine="437"/>
        <w:outlineLvl w:val="1"/>
        <w:rPr>
          <w:rFonts w:hint="eastAsia" w:asciiTheme="majorEastAsia" w:hAnsiTheme="majorEastAsia" w:eastAsiaTheme="majorEastAsia"/>
          <w:b w:val="0"/>
          <w:bCs w:val="0"/>
          <w:color w:val="auto"/>
          <w:sz w:val="24"/>
          <w:szCs w:val="18"/>
          <w:highlight w:val="none"/>
          <w:lang w:val="en-US" w:eastAsia="zh-CN"/>
        </w:rPr>
      </w:pPr>
      <w:r>
        <w:rPr>
          <w:rFonts w:hint="eastAsia" w:asciiTheme="majorEastAsia" w:hAnsiTheme="majorEastAsia" w:eastAsiaTheme="majorEastAsia"/>
          <w:b w:val="0"/>
          <w:bCs w:val="0"/>
          <w:color w:val="auto"/>
          <w:sz w:val="24"/>
          <w:szCs w:val="18"/>
          <w:highlight w:val="none"/>
          <w:lang w:val="en-US" w:eastAsia="zh-CN"/>
        </w:rPr>
        <w:t>17.设备可联网VTE、 HIS、EMR、护理文书等系统。</w:t>
      </w:r>
    </w:p>
    <w:p w14:paraId="1240B8AD">
      <w:pPr>
        <w:spacing w:line="360" w:lineRule="auto"/>
        <w:ind w:firstLine="437"/>
        <w:outlineLvl w:val="1"/>
        <w:rPr>
          <w:rFonts w:hint="eastAsia" w:asciiTheme="majorEastAsia" w:hAnsiTheme="majorEastAsia" w:eastAsiaTheme="majorEastAsia"/>
          <w:b w:val="0"/>
          <w:bCs w:val="0"/>
          <w:color w:val="auto"/>
          <w:sz w:val="24"/>
          <w:szCs w:val="18"/>
          <w:highlight w:val="none"/>
          <w:lang w:val="en-US" w:eastAsia="zh-CN"/>
        </w:rPr>
      </w:pPr>
      <w:r>
        <w:rPr>
          <w:rFonts w:hint="eastAsia" w:asciiTheme="majorEastAsia" w:hAnsiTheme="majorEastAsia" w:eastAsiaTheme="majorEastAsia"/>
          <w:b w:val="0"/>
          <w:bCs w:val="0"/>
          <w:color w:val="auto"/>
          <w:sz w:val="24"/>
          <w:szCs w:val="18"/>
          <w:highlight w:val="none"/>
          <w:lang w:val="en-US" w:eastAsia="zh-CN"/>
        </w:rPr>
        <w:t>18.设备可上传运行数据，如压力、时间、时长、治疗部位等数据，治疗记录可通过VTE系统写入电子病历。</w:t>
      </w:r>
    </w:p>
    <w:p w14:paraId="0E55470C">
      <w:pPr>
        <w:spacing w:line="360" w:lineRule="auto"/>
        <w:ind w:firstLine="437"/>
        <w:outlineLvl w:val="1"/>
        <w:rPr>
          <w:rFonts w:hint="eastAsia" w:asciiTheme="majorEastAsia" w:hAnsiTheme="majorEastAsia" w:eastAsiaTheme="majorEastAsia"/>
          <w:b w:val="0"/>
          <w:bCs w:val="0"/>
          <w:color w:val="auto"/>
          <w:sz w:val="24"/>
          <w:szCs w:val="18"/>
          <w:highlight w:val="none"/>
          <w:lang w:val="en-US" w:eastAsia="zh-CN"/>
        </w:rPr>
      </w:pPr>
      <w:r>
        <w:rPr>
          <w:rFonts w:hint="eastAsia" w:asciiTheme="majorEastAsia" w:hAnsiTheme="majorEastAsia" w:eastAsiaTheme="majorEastAsia"/>
          <w:b w:val="0"/>
          <w:bCs w:val="0"/>
          <w:color w:val="auto"/>
          <w:sz w:val="24"/>
          <w:szCs w:val="18"/>
          <w:highlight w:val="none"/>
          <w:lang w:val="en-US" w:eastAsia="zh-CN"/>
        </w:rPr>
        <w:t>19.设备自带汉字库，界面可显示病房名称。</w:t>
      </w:r>
    </w:p>
    <w:p w14:paraId="653D4995">
      <w:pPr>
        <w:spacing w:line="360" w:lineRule="auto"/>
        <w:ind w:firstLine="437"/>
        <w:outlineLvl w:val="1"/>
        <w:rPr>
          <w:rFonts w:hint="eastAsia" w:asciiTheme="majorEastAsia" w:hAnsiTheme="majorEastAsia" w:eastAsiaTheme="majorEastAsia"/>
          <w:b w:val="0"/>
          <w:bCs w:val="0"/>
          <w:color w:val="auto"/>
          <w:sz w:val="24"/>
          <w:szCs w:val="18"/>
          <w:highlight w:val="none"/>
          <w:lang w:val="en-US" w:eastAsia="zh-CN"/>
        </w:rPr>
      </w:pPr>
      <w:r>
        <w:rPr>
          <w:rFonts w:hint="eastAsia" w:asciiTheme="majorEastAsia" w:hAnsiTheme="majorEastAsia" w:eastAsiaTheme="majorEastAsia"/>
          <w:b w:val="0"/>
          <w:bCs w:val="0"/>
          <w:color w:val="auto"/>
          <w:sz w:val="24"/>
          <w:szCs w:val="18"/>
          <w:highlight w:val="none"/>
          <w:lang w:val="en-US" w:eastAsia="zh-CN"/>
        </w:rPr>
        <w:t>20.设备具备断网自动存储功能，等回到有网络信号的环境，能自动联网并从断点处上传设备存储的数据。</w:t>
      </w:r>
    </w:p>
    <w:p w14:paraId="5C96511A">
      <w:pPr>
        <w:spacing w:line="360" w:lineRule="auto"/>
        <w:ind w:firstLine="437"/>
        <w:outlineLvl w:val="1"/>
        <w:rPr>
          <w:rFonts w:hint="eastAsia" w:asciiTheme="majorEastAsia" w:hAnsiTheme="majorEastAsia" w:eastAsiaTheme="majorEastAsia"/>
          <w:b w:val="0"/>
          <w:bCs w:val="0"/>
          <w:color w:val="auto"/>
          <w:sz w:val="24"/>
          <w:szCs w:val="18"/>
          <w:highlight w:val="none"/>
          <w:lang w:val="en-US" w:eastAsia="zh-CN"/>
        </w:rPr>
      </w:pPr>
      <w:r>
        <w:rPr>
          <w:rFonts w:hint="eastAsia" w:asciiTheme="majorEastAsia" w:hAnsiTheme="majorEastAsia" w:eastAsiaTheme="majorEastAsia"/>
          <w:b w:val="0"/>
          <w:bCs w:val="0"/>
          <w:color w:val="auto"/>
          <w:sz w:val="24"/>
          <w:szCs w:val="18"/>
          <w:highlight w:val="none"/>
          <w:lang w:val="en-US" w:eastAsia="zh-CN"/>
        </w:rPr>
        <w:t>21.设备屏幕分置联网信号、电子医嘱信息窗口，触屏可选择病床号、电子医嘱ID，与患者信息自动匹配。</w:t>
      </w:r>
    </w:p>
    <w:p w14:paraId="2E0157EF">
      <w:pPr>
        <w:spacing w:line="360" w:lineRule="auto"/>
        <w:ind w:firstLine="437"/>
        <w:outlineLvl w:val="1"/>
        <w:rPr>
          <w:rFonts w:hint="eastAsia" w:asciiTheme="majorEastAsia" w:hAnsiTheme="majorEastAsia" w:eastAsiaTheme="majorEastAsia"/>
          <w:b w:val="0"/>
          <w:bCs w:val="0"/>
          <w:color w:val="auto"/>
          <w:sz w:val="24"/>
          <w:szCs w:val="18"/>
          <w:highlight w:val="none"/>
          <w:lang w:val="en-US" w:eastAsia="zh-CN"/>
        </w:rPr>
      </w:pPr>
      <w:r>
        <w:rPr>
          <w:rFonts w:hint="eastAsia" w:asciiTheme="majorEastAsia" w:hAnsiTheme="majorEastAsia" w:eastAsiaTheme="majorEastAsia"/>
          <w:b w:val="0"/>
          <w:bCs w:val="0"/>
          <w:color w:val="auto"/>
          <w:sz w:val="24"/>
          <w:szCs w:val="18"/>
          <w:highlight w:val="none"/>
          <w:lang w:val="en-US" w:eastAsia="zh-CN"/>
        </w:rPr>
        <w:t>22.物联网：无限扩展，智能组网，分院、联盟医院可共用统一VTE管理平台。</w:t>
      </w:r>
    </w:p>
    <w:p w14:paraId="4CF94ED2">
      <w:pPr>
        <w:spacing w:line="360" w:lineRule="auto"/>
        <w:ind w:firstLine="437"/>
        <w:outlineLvl w:val="1"/>
        <w:rPr>
          <w:rFonts w:hint="eastAsia" w:asciiTheme="majorEastAsia" w:hAnsiTheme="majorEastAsia" w:eastAsiaTheme="majorEastAsia"/>
          <w:b w:val="0"/>
          <w:bCs w:val="0"/>
          <w:color w:val="auto"/>
          <w:sz w:val="24"/>
          <w:szCs w:val="18"/>
          <w:highlight w:val="none"/>
          <w:lang w:val="en-US" w:eastAsia="zh-CN"/>
        </w:rPr>
      </w:pPr>
      <w:r>
        <w:rPr>
          <w:rFonts w:hint="eastAsia" w:asciiTheme="majorEastAsia" w:hAnsiTheme="majorEastAsia" w:eastAsiaTheme="majorEastAsia"/>
          <w:b w:val="0"/>
          <w:bCs w:val="0"/>
          <w:color w:val="auto"/>
          <w:sz w:val="24"/>
          <w:szCs w:val="18"/>
          <w:highlight w:val="none"/>
          <w:lang w:val="en-US" w:eastAsia="zh-CN"/>
        </w:rPr>
        <w:t>23.隐藏式挂钩，可悬挂床头、吊塔、手术床上。</w:t>
      </w:r>
    </w:p>
    <w:p w14:paraId="2F7784B3">
      <w:pPr>
        <w:spacing w:line="360" w:lineRule="auto"/>
        <w:ind w:firstLine="437"/>
        <w:outlineLvl w:val="1"/>
        <w:rPr>
          <w:rFonts w:hint="eastAsia" w:asciiTheme="majorEastAsia" w:hAnsiTheme="majorEastAsia" w:eastAsiaTheme="majorEastAsia"/>
          <w:b w:val="0"/>
          <w:bCs w:val="0"/>
          <w:color w:val="auto"/>
          <w:sz w:val="24"/>
          <w:szCs w:val="18"/>
          <w:highlight w:val="none"/>
          <w:lang w:val="en-US" w:eastAsia="zh-CN"/>
        </w:rPr>
      </w:pPr>
      <w:r>
        <w:rPr>
          <w:rFonts w:hint="eastAsia" w:asciiTheme="majorEastAsia" w:hAnsiTheme="majorEastAsia" w:eastAsiaTheme="majorEastAsia"/>
          <w:b w:val="0"/>
          <w:bCs w:val="0"/>
          <w:color w:val="auto"/>
          <w:sz w:val="24"/>
          <w:szCs w:val="18"/>
          <w:highlight w:val="none"/>
          <w:lang w:val="en-US" w:eastAsia="zh-CN"/>
        </w:rPr>
        <w:t>24.安全设置：自保护功能，超压、欠压报警，电池欠压报警、空接报警，同时具有语音及屏幕双重报警功能。</w:t>
      </w:r>
    </w:p>
    <w:p w14:paraId="02EA8B33">
      <w:pPr>
        <w:spacing w:line="360" w:lineRule="auto"/>
        <w:ind w:firstLine="437"/>
        <w:outlineLvl w:val="1"/>
        <w:rPr>
          <w:rFonts w:hint="eastAsia" w:asciiTheme="majorEastAsia" w:hAnsiTheme="majorEastAsia" w:eastAsiaTheme="majorEastAsia"/>
          <w:b w:val="0"/>
          <w:bCs w:val="0"/>
          <w:color w:val="auto"/>
          <w:sz w:val="24"/>
          <w:szCs w:val="18"/>
          <w:highlight w:val="none"/>
          <w:lang w:val="en-US" w:eastAsia="zh-CN"/>
        </w:rPr>
      </w:pPr>
      <w:r>
        <w:rPr>
          <w:rFonts w:hint="eastAsia" w:asciiTheme="majorEastAsia" w:hAnsiTheme="majorEastAsia" w:eastAsiaTheme="majorEastAsia"/>
          <w:b w:val="0"/>
          <w:bCs w:val="0"/>
          <w:color w:val="auto"/>
          <w:sz w:val="24"/>
          <w:szCs w:val="18"/>
          <w:highlight w:val="none"/>
          <w:lang w:val="en-US" w:eastAsia="zh-CN"/>
        </w:rPr>
        <w:t>25.具有电磁兼容检验报告。</w:t>
      </w:r>
    </w:p>
    <w:p w14:paraId="4232191D">
      <w:pPr>
        <w:spacing w:line="360" w:lineRule="auto"/>
        <w:ind w:firstLine="437"/>
        <w:outlineLvl w:val="1"/>
        <w:rPr>
          <w:rFonts w:hint="eastAsia" w:asciiTheme="majorEastAsia" w:hAnsiTheme="majorEastAsia" w:eastAsiaTheme="majorEastAsia"/>
          <w:b w:val="0"/>
          <w:bCs w:val="0"/>
          <w:color w:val="auto"/>
          <w:sz w:val="24"/>
          <w:szCs w:val="18"/>
          <w:highlight w:val="none"/>
          <w:lang w:val="en-US" w:eastAsia="zh-CN"/>
        </w:rPr>
      </w:pPr>
      <w:r>
        <w:rPr>
          <w:rFonts w:hint="eastAsia" w:asciiTheme="majorEastAsia" w:hAnsiTheme="majorEastAsia" w:eastAsiaTheme="majorEastAsia"/>
          <w:b w:val="0"/>
          <w:bCs w:val="0"/>
          <w:color w:val="auto"/>
          <w:sz w:val="24"/>
          <w:szCs w:val="18"/>
          <w:highlight w:val="none"/>
          <w:lang w:val="en-US" w:eastAsia="zh-CN"/>
        </w:rPr>
        <w:t>26.整机质保期≥3年。所投产品在质保期内中标方须根据医院需要免费对接医院VTE软件，并覆盖医院及医联体单位，若第三方软件公司需接口费，相关费用由中标方承担。质保期内若医院在用软件更新须重新对接中标方软件，中标方不得收取接口费。质保期内若医院有新的软件需要对接中标方软件，中标方不得收取接口费。</w:t>
      </w:r>
    </w:p>
    <w:p w14:paraId="325B5338">
      <w:pPr>
        <w:spacing w:line="360" w:lineRule="auto"/>
        <w:ind w:firstLine="437"/>
        <w:outlineLvl w:val="1"/>
        <w:rPr>
          <w:rFonts w:hint="eastAsia" w:asciiTheme="majorEastAsia" w:hAnsiTheme="majorEastAsia" w:eastAsiaTheme="majorEastAsia"/>
          <w:b/>
          <w:bCs/>
          <w:color w:val="auto"/>
          <w:sz w:val="24"/>
          <w:szCs w:val="18"/>
          <w:highlight w:val="none"/>
          <w:lang w:val="en-US" w:eastAsia="zh-CN"/>
        </w:rPr>
      </w:pPr>
      <w:r>
        <w:rPr>
          <w:rFonts w:hint="eastAsia" w:asciiTheme="majorEastAsia" w:hAnsiTheme="majorEastAsia" w:eastAsiaTheme="majorEastAsia"/>
          <w:b/>
          <w:bCs/>
          <w:color w:val="auto"/>
          <w:sz w:val="24"/>
          <w:szCs w:val="18"/>
          <w:highlight w:val="none"/>
          <w:lang w:val="en-US" w:eastAsia="zh-CN"/>
        </w:rPr>
        <w:t>注：上述技术参数以技术响应表为评审依据，不允许负偏离，否则视作无效响应。</w:t>
      </w:r>
    </w:p>
    <w:p w14:paraId="217B9094">
      <w:pPr>
        <w:spacing w:line="360" w:lineRule="auto"/>
        <w:ind w:firstLine="437"/>
        <w:outlineLvl w:val="1"/>
        <w:rPr>
          <w:rFonts w:asciiTheme="majorEastAsia" w:hAnsiTheme="majorEastAsia" w:eastAsiaTheme="majorEastAsia"/>
          <w:b/>
          <w:bCs/>
          <w:color w:val="auto"/>
          <w:sz w:val="24"/>
          <w:szCs w:val="18"/>
          <w:highlight w:val="none"/>
        </w:rPr>
      </w:pPr>
      <w:r>
        <w:rPr>
          <w:rFonts w:hint="eastAsia" w:asciiTheme="majorEastAsia" w:hAnsiTheme="majorEastAsia" w:eastAsiaTheme="majorEastAsia"/>
          <w:b/>
          <w:bCs/>
          <w:color w:val="auto"/>
          <w:sz w:val="24"/>
          <w:szCs w:val="18"/>
          <w:highlight w:val="none"/>
        </w:rPr>
        <w:t>三、报价要求</w:t>
      </w:r>
      <w:bookmarkEnd w:id="3"/>
      <w:bookmarkEnd w:id="4"/>
      <w:bookmarkEnd w:id="5"/>
    </w:p>
    <w:p w14:paraId="67DA1C37">
      <w:pPr>
        <w:spacing w:line="360" w:lineRule="auto"/>
        <w:ind w:firstLine="480" w:firstLineChars="200"/>
        <w:rPr>
          <w:rFonts w:asciiTheme="majorEastAsia" w:hAnsiTheme="majorEastAsia" w:eastAsiaTheme="majorEastAsia"/>
          <w:bCs/>
          <w:color w:val="auto"/>
          <w:sz w:val="24"/>
          <w:szCs w:val="18"/>
          <w:highlight w:val="none"/>
        </w:rPr>
      </w:pPr>
      <w:r>
        <w:rPr>
          <w:rFonts w:hint="eastAsia" w:ascii="宋体" w:hAnsi="宋体" w:eastAsia="宋体"/>
          <w:bCs/>
          <w:color w:val="000000"/>
          <w:sz w:val="24"/>
          <w:szCs w:val="18"/>
          <w:highlight w:val="none"/>
          <w:lang w:eastAsia="zh-CN"/>
        </w:rPr>
        <w:t>本项目报总价，报价包含完成本项目所需的全部费用，中标后采购人不再另行追加任何费用，请</w:t>
      </w:r>
      <w:r>
        <w:rPr>
          <w:rFonts w:hint="eastAsia" w:ascii="宋体" w:hAnsi="宋体" w:eastAsia="宋体"/>
          <w:bCs/>
          <w:color w:val="000000"/>
          <w:sz w:val="24"/>
          <w:szCs w:val="18"/>
          <w:highlight w:val="none"/>
          <w:lang w:val="en-US" w:eastAsia="zh-CN"/>
        </w:rPr>
        <w:t>供应商</w:t>
      </w:r>
      <w:r>
        <w:rPr>
          <w:rFonts w:hint="eastAsia" w:ascii="宋体" w:hAnsi="宋体" w:eastAsia="宋体"/>
          <w:bCs/>
          <w:color w:val="000000"/>
          <w:sz w:val="24"/>
          <w:szCs w:val="18"/>
          <w:highlight w:val="none"/>
          <w:lang w:eastAsia="zh-CN"/>
        </w:rPr>
        <w:t>自行考虑报价风险。</w:t>
      </w:r>
    </w:p>
    <w:p w14:paraId="1C22835D">
      <w:pPr>
        <w:spacing w:line="360" w:lineRule="auto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@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宋?">
    <w:altName w:val="宋体"/>
    <w:panose1 w:val="00000000000000000000"/>
    <w:charset w:val="81"/>
    <w:family w:val="roman"/>
    <w:pitch w:val="default"/>
    <w:sig w:usb0="00000000" w:usb1="00000000" w:usb2="00000010" w:usb3="00000000" w:csb0="0008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1C45F44"/>
    <w:rsid w:val="21C45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@仿宋_GB2312" w:hAnsi="@仿宋_GB2312" w:eastAsia="@仿宋_GB2312" w:cs="@仿宋_GB2312"/>
      <w:kern w:val="2"/>
      <w:sz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1"/>
    <w:qFormat/>
    <w:uiPriority w:val="0"/>
    <w:pPr>
      <w:spacing w:after="120"/>
      <w:ind w:left="420" w:leftChars="200" w:firstLine="420" w:firstLineChars="200"/>
    </w:pPr>
    <w:rPr>
      <w:rFonts w:ascii="Times New Roman" w:hAnsi="Times New Roman" w:eastAsia="宋?" w:cs="Times New Roman"/>
      <w:sz w:val="21"/>
      <w:szCs w:val="24"/>
    </w:rPr>
  </w:style>
  <w:style w:type="paragraph" w:styleId="3">
    <w:name w:val="Body Text Indent"/>
    <w:basedOn w:val="1"/>
    <w:next w:val="4"/>
    <w:qFormat/>
    <w:uiPriority w:val="0"/>
    <w:pPr>
      <w:spacing w:after="120"/>
      <w:ind w:left="420" w:leftChars="200"/>
    </w:p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 w:cs="Arial"/>
    </w:rPr>
  </w:style>
  <w:style w:type="paragraph" w:styleId="5">
    <w:name w:val="header"/>
    <w:basedOn w:val="1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8">
    <w:name w:val="D&amp;L"/>
    <w:basedOn w:val="5"/>
    <w:autoRedefine/>
    <w:qFormat/>
    <w:uiPriority w:val="0"/>
    <w:pPr>
      <w:pBdr>
        <w:bottom w:val="thinThickSmallGap" w:color="auto" w:sz="18" w:space="1"/>
      </w:pBdr>
      <w:adjustRightInd w:val="0"/>
      <w:snapToGrid/>
      <w:spacing w:line="240" w:lineRule="atLeast"/>
      <w:textAlignment w:val="baseline"/>
    </w:pPr>
    <w:rPr>
      <w:kern w:val="0"/>
      <w:sz w:val="24"/>
      <w:szCs w:val="20"/>
    </w:rPr>
  </w:style>
  <w:style w:type="paragraph" w:customStyle="1" w:styleId="9">
    <w:name w:val="xl31"/>
    <w:basedOn w:val="1"/>
    <w:autoRedefine/>
    <w:qFormat/>
    <w:uiPriority w:val="0"/>
    <w:pPr>
      <w:widowControl/>
      <w:spacing w:before="100" w:beforeAutospacing="1" w:after="100" w:afterAutospacing="1"/>
      <w:jc w:val="center"/>
    </w:pPr>
    <w:rPr>
      <w:b/>
      <w:bCs/>
      <w:kern w:val="0"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2026-05-15T06:58:00Z</dcterms:created>
  <dc:creator>时崎暝</dc:creator>
  <cp:lastModifiedBy>时崎暝</cp:lastModifiedBy>
  <dcterms:modified xsi:type="dcterms:W3CDTF">2026-05-15T06:59:55Z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06563BA52236448A9FDC2740BA744FB4_11</vt:lpwstr>
  </property>
  <property fmtid="{D5CDD505-2E9C-101B-9397-08002B2CF9AE}" pid="4" name="KSOTemplateDocerSaveRecord">
    <vt:lpwstr>eyJoZGlkIjoiYmU4ZmFjZGZiOGI2ZGQ4MWFhZTk0MjUwOWY5NzY2NzciLCJ1c2VySWQiOiIzMzYwNDg3MjEifQ==</vt:lpwstr>
  </property>
</Properties>
</file>