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3F156F">
      <w:pPr>
        <w:pStyle w:val="4"/>
        <w:pageBreakBefore w:val="0"/>
        <w:kinsoku/>
        <w:wordWrap/>
        <w:overflowPunct/>
        <w:topLinePunct w:val="0"/>
        <w:autoSpaceDE/>
        <w:autoSpaceDN/>
        <w:bidi w:val="0"/>
        <w:adjustRightInd/>
        <w:spacing w:before="120" w:beforeLines="50" w:after="120" w:afterLines="50" w:line="500" w:lineRule="exact"/>
        <w:jc w:val="center"/>
        <w:textAlignment w:val="auto"/>
        <w:rPr>
          <w:rFonts w:hint="eastAsia" w:ascii="宋体" w:hAnsi="宋体" w:cs="宋体"/>
          <w:color w:val="auto"/>
          <w:sz w:val="32"/>
          <w:szCs w:val="32"/>
          <w:highlight w:val="none"/>
        </w:rPr>
      </w:pPr>
      <w:bookmarkStart w:id="0" w:name="_Toc20738"/>
      <w:r>
        <w:rPr>
          <w:rFonts w:hint="eastAsia" w:ascii="宋体" w:hAnsi="宋体" w:cs="宋体"/>
          <w:color w:val="auto"/>
          <w:sz w:val="32"/>
          <w:szCs w:val="32"/>
          <w:highlight w:val="none"/>
        </w:rPr>
        <w:t>采购需求</w:t>
      </w:r>
      <w:bookmarkEnd w:id="0"/>
    </w:p>
    <w:p w14:paraId="32A3D5AE">
      <w:pPr>
        <w:pStyle w:val="5"/>
        <w:keepNext/>
        <w:keepLines/>
        <w:pageBreakBefore w:val="0"/>
        <w:widowControl w:val="0"/>
        <w:kinsoku/>
        <w:wordWrap/>
        <w:overflowPunct/>
        <w:topLinePunct w:val="0"/>
        <w:autoSpaceDE/>
        <w:autoSpaceDN/>
        <w:bidi w:val="0"/>
        <w:adjustRightInd/>
        <w:snapToGrid/>
        <w:spacing w:before="0" w:after="0" w:line="500" w:lineRule="exact"/>
        <w:textAlignment w:val="auto"/>
        <w:rPr>
          <w:rFonts w:hint="eastAsia" w:hAnsi="宋体" w:cs="宋体"/>
          <w:b/>
          <w:bCs/>
          <w:color w:val="auto"/>
          <w:sz w:val="24"/>
          <w:szCs w:val="24"/>
          <w:highlight w:val="none"/>
        </w:rPr>
      </w:pPr>
      <w:bookmarkStart w:id="1" w:name="_Hlt509716920"/>
      <w:bookmarkEnd w:id="1"/>
      <w:bookmarkStart w:id="2" w:name="_Toc11196"/>
      <w:bookmarkStart w:id="3" w:name="_Toc17626"/>
      <w:bookmarkStart w:id="4" w:name="_Toc28466"/>
      <w:bookmarkStart w:id="5" w:name="_Toc32143"/>
      <w:bookmarkStart w:id="6" w:name="_Toc30378"/>
      <w:r>
        <w:rPr>
          <w:rFonts w:hint="eastAsia" w:hAnsi="宋体" w:cs="宋体"/>
          <w:b/>
          <w:bCs/>
          <w:color w:val="auto"/>
          <w:sz w:val="24"/>
          <w:szCs w:val="24"/>
          <w:highlight w:val="none"/>
        </w:rPr>
        <w:t>项目概况</w:t>
      </w:r>
      <w:bookmarkEnd w:id="2"/>
      <w:bookmarkEnd w:id="3"/>
      <w:bookmarkEnd w:id="4"/>
      <w:bookmarkEnd w:id="5"/>
      <w:bookmarkEnd w:id="6"/>
    </w:p>
    <w:p w14:paraId="309815FF">
      <w:pPr>
        <w:pageBreakBefore w:val="0"/>
        <w:numPr>
          <w:ilvl w:val="0"/>
          <w:numId w:val="0"/>
        </w:numPr>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eastAsia="宋体" w:cs="宋体"/>
          <w:color w:val="auto"/>
          <w:kern w:val="2"/>
          <w:sz w:val="28"/>
          <w:szCs w:val="28"/>
          <w:lang w:val="en-US" w:eastAsia="zh-CN" w:bidi="ar-SA"/>
        </w:rPr>
        <w:t>1.</w:t>
      </w:r>
      <w:r>
        <w:rPr>
          <w:rFonts w:hint="eastAsia" w:ascii="宋体" w:hAnsi="宋体" w:cs="宋体"/>
          <w:color w:val="auto"/>
          <w:sz w:val="28"/>
          <w:szCs w:val="28"/>
          <w:highlight w:val="none"/>
        </w:rPr>
        <w:t xml:space="preserve">为了进一步规范和加强招标人全院物资精细化的管理，提高服务水平，现拟招一家服务商（中标人）提供全院物资智慧物流管理服务（包含该项目中涉及的相关软件、一、二级库硬件、运营服务人员等相关配套）。 </w:t>
      </w:r>
    </w:p>
    <w:p w14:paraId="00D6A92F">
      <w:pPr>
        <w:pageBreakBefore w:val="0"/>
        <w:numPr>
          <w:ilvl w:val="0"/>
          <w:numId w:val="0"/>
        </w:numPr>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color w:val="auto"/>
          <w:sz w:val="28"/>
          <w:szCs w:val="28"/>
          <w:highlight w:val="none"/>
        </w:rPr>
        <w:t>2.医院不承担此项目所有费用，服务商（中标人）向全院物资智慧物流服务项目平台的耗材、试剂、及药品供应商按月度结算费用收取对应服务费，以维持项目正常运营。（服务费包括：1、SPD管理服务费：耗材、试剂、及药品SPD管理服务费的金额不得超过其物资供应总额的2%；2、院内运送服务费：药品除SPD管理服务费外还须支付院内运送服务费，具体费率由中标企业与药品配送企业另行约定。即耗材、试剂、药品供应商与医院按月结算，</w:t>
      </w:r>
      <w:r>
        <w:rPr>
          <w:rFonts w:hint="eastAsia" w:ascii="宋体" w:hAnsi="宋体" w:cs="宋体"/>
          <w:color w:val="auto"/>
          <w:sz w:val="28"/>
          <w:szCs w:val="28"/>
          <w:highlight w:val="none"/>
          <w:lang w:val="en-US" w:eastAsia="zh-CN"/>
        </w:rPr>
        <w:t>按季度与中标人</w:t>
      </w:r>
      <w:r>
        <w:rPr>
          <w:rFonts w:hint="eastAsia" w:ascii="宋体" w:hAnsi="宋体" w:cs="宋体"/>
          <w:color w:val="auto"/>
          <w:sz w:val="28"/>
          <w:szCs w:val="28"/>
          <w:highlight w:val="none"/>
        </w:rPr>
        <w:t>结付</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结算发票金额×中标费率</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。合同签订后，服务商（中标人）在医院的监督及配合下推动耗材、试剂、药品供应商签署服务协议，以保障服务商（中标人）合理权益。</w:t>
      </w:r>
    </w:p>
    <w:p w14:paraId="4D517F1E">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color w:val="auto"/>
          <w:sz w:val="28"/>
          <w:szCs w:val="28"/>
          <w:highlight w:val="none"/>
        </w:rPr>
        <w:t>3.合同期满后，医院享有本项目首次投入的设备设施的所有权及其软件系统长期使用权，直至医院另有安排。合作期满后的设备设施维修费用，由双方另行约定。</w:t>
      </w:r>
    </w:p>
    <w:p w14:paraId="01821919">
      <w:pPr>
        <w:pageBreakBefore w:val="0"/>
        <w:kinsoku/>
        <w:wordWrap/>
        <w:overflowPunct/>
        <w:topLinePunct w:val="0"/>
        <w:autoSpaceDE/>
        <w:autoSpaceDN/>
        <w:bidi w:val="0"/>
        <w:adjustRightInd/>
        <w:spacing w:line="500" w:lineRule="exact"/>
        <w:ind w:firstLine="562" w:firstLineChars="200"/>
        <w:textAlignment w:val="auto"/>
        <w:rPr>
          <w:rFonts w:hint="eastAsia" w:ascii="宋体" w:hAnsi="宋体" w:cs="宋体"/>
          <w:b/>
          <w:color w:val="auto"/>
          <w:sz w:val="28"/>
          <w:szCs w:val="28"/>
          <w:highlight w:val="none"/>
        </w:rPr>
      </w:pPr>
      <w:r>
        <w:rPr>
          <w:rFonts w:hint="eastAsia" w:ascii="宋体" w:hAnsi="宋体" w:cs="宋体"/>
          <w:b/>
          <w:color w:val="auto"/>
          <w:sz w:val="28"/>
          <w:szCs w:val="28"/>
          <w:highlight w:val="none"/>
        </w:rPr>
        <w:t>注：1.采购需求中▲条款未响应或负偏离的，按无效投标处理；</w:t>
      </w:r>
    </w:p>
    <w:p w14:paraId="17ED8491">
      <w:pPr>
        <w:pageBreakBefore w:val="0"/>
        <w:kinsoku/>
        <w:wordWrap/>
        <w:overflowPunct/>
        <w:topLinePunct w:val="0"/>
        <w:autoSpaceDE/>
        <w:autoSpaceDN/>
        <w:bidi w:val="0"/>
        <w:adjustRightInd/>
        <w:spacing w:line="500" w:lineRule="exact"/>
        <w:ind w:firstLine="562" w:firstLineChars="200"/>
        <w:textAlignment w:val="auto"/>
        <w:rPr>
          <w:rFonts w:hint="eastAsia" w:ascii="宋体" w:hAnsi="宋体" w:cs="宋体"/>
          <w:b/>
          <w:color w:val="auto"/>
          <w:sz w:val="28"/>
          <w:szCs w:val="28"/>
          <w:highlight w:val="none"/>
        </w:rPr>
      </w:pPr>
      <w:r>
        <w:rPr>
          <w:rFonts w:hint="eastAsia" w:ascii="宋体" w:hAnsi="宋体" w:cs="宋体"/>
          <w:b/>
          <w:color w:val="auto"/>
          <w:sz w:val="28"/>
          <w:szCs w:val="28"/>
          <w:highlight w:val="none"/>
        </w:rPr>
        <w:t>2.采购需求中★条款以投标文件中要求提供的相应证明材料作为评分依据；</w:t>
      </w:r>
    </w:p>
    <w:p w14:paraId="1EE3A265">
      <w:pPr>
        <w:pageBreakBefore w:val="0"/>
        <w:kinsoku/>
        <w:wordWrap/>
        <w:overflowPunct/>
        <w:topLinePunct w:val="0"/>
        <w:autoSpaceDE/>
        <w:autoSpaceDN/>
        <w:bidi w:val="0"/>
        <w:adjustRightInd/>
        <w:spacing w:line="500" w:lineRule="exact"/>
        <w:ind w:firstLine="562" w:firstLineChars="200"/>
        <w:textAlignment w:val="auto"/>
        <w:rPr>
          <w:rFonts w:hint="eastAsia" w:ascii="宋体" w:hAnsi="宋体" w:cs="宋体"/>
          <w:b/>
          <w:color w:val="auto"/>
          <w:sz w:val="28"/>
          <w:szCs w:val="28"/>
          <w:highlight w:val="none"/>
        </w:rPr>
      </w:pPr>
      <w:r>
        <w:rPr>
          <w:rFonts w:hint="eastAsia" w:ascii="宋体" w:hAnsi="宋体" w:cs="宋体"/>
          <w:b/>
          <w:color w:val="auto"/>
          <w:sz w:val="28"/>
          <w:szCs w:val="28"/>
          <w:highlight w:val="none"/>
        </w:rPr>
        <w:t>3.采购需求中无标识项负偏离或未响应≥5条的，按无效投标处理；</w:t>
      </w:r>
    </w:p>
    <w:p w14:paraId="32512C9C">
      <w:pPr>
        <w:pageBreakBefore w:val="0"/>
        <w:kinsoku/>
        <w:wordWrap/>
        <w:overflowPunct/>
        <w:topLinePunct w:val="0"/>
        <w:autoSpaceDE/>
        <w:autoSpaceDN/>
        <w:bidi w:val="0"/>
        <w:adjustRightInd/>
        <w:spacing w:line="500" w:lineRule="exact"/>
        <w:ind w:firstLine="562" w:firstLineChars="200"/>
        <w:textAlignment w:val="auto"/>
        <w:rPr>
          <w:rFonts w:ascii="宋体" w:hAnsi="宋体" w:cs="宋体"/>
          <w:b/>
          <w:color w:val="auto"/>
          <w:sz w:val="28"/>
          <w:szCs w:val="28"/>
          <w:highlight w:val="none"/>
        </w:rPr>
      </w:pPr>
      <w:r>
        <w:rPr>
          <w:rFonts w:hint="eastAsia" w:ascii="宋体" w:hAnsi="宋体" w:cs="宋体"/>
          <w:b/>
          <w:color w:val="auto"/>
          <w:sz w:val="28"/>
          <w:szCs w:val="28"/>
          <w:highlight w:val="none"/>
        </w:rPr>
        <w:t>4.采购需求所有涉及评审因素的内容（包含但不限于方案、证明材料），投标人须在投标文件中明确对应内容的页码。</w:t>
      </w:r>
    </w:p>
    <w:p w14:paraId="11FC8DDE">
      <w:pPr>
        <w:pStyle w:val="2"/>
        <w:pageBreakBefore w:val="0"/>
        <w:kinsoku/>
        <w:wordWrap/>
        <w:overflowPunct/>
        <w:topLinePunct w:val="0"/>
        <w:autoSpaceDE/>
        <w:autoSpaceDN/>
        <w:bidi w:val="0"/>
        <w:adjustRightInd/>
        <w:spacing w:line="500" w:lineRule="exact"/>
        <w:jc w:val="center"/>
        <w:textAlignment w:val="auto"/>
        <w:rPr>
          <w:rFonts w:hint="eastAsia" w:hAnsi="宋体" w:cs="宋体"/>
          <w:b/>
          <w:bCs/>
          <w:color w:val="auto"/>
          <w:szCs w:val="28"/>
          <w:highlight w:val="none"/>
        </w:rPr>
      </w:pPr>
      <w:r>
        <w:rPr>
          <w:rFonts w:hint="eastAsia" w:hAnsi="宋体" w:cs="宋体"/>
          <w:color w:val="auto"/>
          <w:highlight w:val="none"/>
        </w:rPr>
        <w:br w:type="page"/>
      </w:r>
      <w:r>
        <w:rPr>
          <w:rFonts w:hint="eastAsia" w:hAnsi="宋体" w:cs="宋体"/>
          <w:b/>
          <w:bCs/>
          <w:color w:val="auto"/>
          <w:szCs w:val="28"/>
          <w:highlight w:val="none"/>
        </w:rPr>
        <w:t>一、总体要求</w:t>
      </w:r>
    </w:p>
    <w:p w14:paraId="06E86C84">
      <w:pPr>
        <w:pStyle w:val="2"/>
        <w:pageBreakBefore w:val="0"/>
        <w:kinsoku/>
        <w:wordWrap/>
        <w:overflowPunct/>
        <w:topLinePunct w:val="0"/>
        <w:autoSpaceDE/>
        <w:autoSpaceDN/>
        <w:bidi w:val="0"/>
        <w:adjustRightInd/>
        <w:spacing w:before="157" w:line="500" w:lineRule="exact"/>
        <w:ind w:left="2" w:right="120" w:firstLine="564" w:firstLineChars="200"/>
        <w:textAlignment w:val="auto"/>
        <w:rPr>
          <w:rFonts w:hint="eastAsia" w:hAnsi="宋体" w:cs="宋体"/>
          <w:color w:val="auto"/>
          <w:spacing w:val="-1"/>
          <w:szCs w:val="28"/>
          <w:highlight w:val="none"/>
        </w:rPr>
      </w:pPr>
      <w:r>
        <w:rPr>
          <w:rFonts w:hint="eastAsia" w:hAnsi="宋体" w:cs="宋体"/>
          <w:color w:val="auto"/>
          <w:spacing w:val="1"/>
          <w:szCs w:val="28"/>
          <w:highlight w:val="none"/>
        </w:rPr>
        <w:t>1.服务范围：医院所有院区全院物资的配送管理服务、院内物流管理服务、业务</w:t>
      </w:r>
      <w:r>
        <w:rPr>
          <w:rFonts w:hint="eastAsia" w:hAnsi="宋体" w:cs="宋体"/>
          <w:color w:val="auto"/>
          <w:szCs w:val="28"/>
          <w:highlight w:val="none"/>
        </w:rPr>
        <w:t>数据管理服务及相应的规范化、标准化体系建设等，全院物资包括医用耗材、检验试</w:t>
      </w:r>
      <w:r>
        <w:rPr>
          <w:rFonts w:hint="eastAsia" w:hAnsi="宋体" w:cs="宋体"/>
          <w:color w:val="auto"/>
          <w:spacing w:val="-1"/>
          <w:szCs w:val="28"/>
          <w:highlight w:val="none"/>
        </w:rPr>
        <w:t>剂、药品、后勤总务物资等。</w:t>
      </w:r>
    </w:p>
    <w:p w14:paraId="3F58C6E5">
      <w:pPr>
        <w:pStyle w:val="2"/>
        <w:keepNext w:val="0"/>
        <w:keepLines w:val="0"/>
        <w:pageBreakBefore w:val="0"/>
        <w:widowControl w:val="0"/>
        <w:kinsoku/>
        <w:wordWrap/>
        <w:overflowPunct/>
        <w:topLinePunct w:val="0"/>
        <w:autoSpaceDE/>
        <w:autoSpaceDN/>
        <w:bidi w:val="0"/>
        <w:adjustRightInd/>
        <w:snapToGrid/>
        <w:spacing w:line="500" w:lineRule="exact"/>
        <w:ind w:left="0" w:right="119" w:firstLine="540" w:firstLineChars="200"/>
        <w:textAlignment w:val="auto"/>
        <w:rPr>
          <w:rFonts w:hint="eastAsia" w:hAnsi="宋体" w:cs="宋体"/>
          <w:color w:val="auto"/>
          <w:szCs w:val="28"/>
          <w:highlight w:val="none"/>
        </w:rPr>
      </w:pPr>
      <w:r>
        <w:rPr>
          <w:rFonts w:hint="eastAsia" w:hAnsi="宋体" w:cs="宋体"/>
          <w:color w:val="auto"/>
          <w:spacing w:val="-5"/>
          <w:szCs w:val="28"/>
          <w:highlight w:val="none"/>
        </w:rPr>
        <w:t>2.运营模式：</w:t>
      </w:r>
    </w:p>
    <w:p w14:paraId="2C553D4A">
      <w:pPr>
        <w:pStyle w:val="2"/>
        <w:keepNext w:val="0"/>
        <w:keepLines w:val="0"/>
        <w:pageBreakBefore w:val="0"/>
        <w:widowControl w:val="0"/>
        <w:kinsoku/>
        <w:wordWrap/>
        <w:overflowPunct/>
        <w:topLinePunct w:val="0"/>
        <w:autoSpaceDE/>
        <w:autoSpaceDN/>
        <w:bidi w:val="0"/>
        <w:adjustRightInd/>
        <w:snapToGrid/>
        <w:spacing w:line="500" w:lineRule="exact"/>
        <w:ind w:right="102" w:firstLine="564" w:firstLineChars="200"/>
        <w:textAlignment w:val="auto"/>
        <w:rPr>
          <w:rFonts w:hint="eastAsia" w:hAnsi="宋体" w:cs="宋体"/>
          <w:color w:val="auto"/>
          <w:szCs w:val="28"/>
          <w:highlight w:val="none"/>
        </w:rPr>
      </w:pPr>
      <w:r>
        <w:rPr>
          <w:rFonts w:hint="eastAsia" w:hAnsi="宋体" w:cs="宋体"/>
          <w:color w:val="auto"/>
          <w:spacing w:val="1"/>
          <w:szCs w:val="28"/>
          <w:highlight w:val="none"/>
        </w:rPr>
        <w:t>（1）平台模式：以医院物资智能化管理系统及院内物资配送服务为核心，支持与本地集采</w:t>
      </w:r>
      <w:r>
        <w:rPr>
          <w:rFonts w:hint="eastAsia" w:hAnsi="宋体" w:cs="宋体"/>
          <w:color w:val="auto"/>
          <w:spacing w:val="-1"/>
          <w:szCs w:val="28"/>
          <w:highlight w:val="none"/>
        </w:rPr>
        <w:t>平台系统互联互通，通过对医院（耗材试剂、药品、后勤总务物资）中心库集中化管理，多节点精细化管理，实现多</w:t>
      </w:r>
      <w:r>
        <w:rPr>
          <w:rFonts w:hint="eastAsia" w:hAnsi="宋体" w:cs="宋体"/>
          <w:color w:val="auto"/>
          <w:spacing w:val="-2"/>
          <w:szCs w:val="28"/>
          <w:highlight w:val="none"/>
        </w:rPr>
        <w:t>维度、可视化数据分析及监管。</w:t>
      </w:r>
    </w:p>
    <w:p w14:paraId="2C0E58B9">
      <w:pPr>
        <w:pStyle w:val="2"/>
        <w:keepNext w:val="0"/>
        <w:keepLines w:val="0"/>
        <w:pageBreakBefore w:val="0"/>
        <w:widowControl w:val="0"/>
        <w:kinsoku/>
        <w:wordWrap/>
        <w:overflowPunct/>
        <w:topLinePunct w:val="0"/>
        <w:autoSpaceDE/>
        <w:autoSpaceDN/>
        <w:bidi w:val="0"/>
        <w:adjustRightInd/>
        <w:snapToGrid/>
        <w:spacing w:line="500" w:lineRule="exact"/>
        <w:ind w:left="35" w:firstLine="556" w:firstLineChars="200"/>
        <w:textAlignment w:val="auto"/>
        <w:rPr>
          <w:rFonts w:hint="eastAsia" w:hAnsi="宋体" w:cs="宋体"/>
          <w:color w:val="auto"/>
          <w:szCs w:val="28"/>
          <w:highlight w:val="none"/>
        </w:rPr>
      </w:pPr>
      <w:r>
        <w:rPr>
          <w:rFonts w:hint="eastAsia" w:hAnsi="宋体" w:cs="宋体"/>
          <w:color w:val="auto"/>
          <w:spacing w:val="-1"/>
          <w:szCs w:val="28"/>
          <w:highlight w:val="none"/>
        </w:rPr>
        <w:t>（2）结算模式：耗材、试剂以临床实际使用消耗数据作为结算依据，按月结算，定期结付，实现医院“零库存资金”</w:t>
      </w:r>
      <w:r>
        <w:rPr>
          <w:rFonts w:hint="eastAsia" w:hAnsi="宋体" w:cs="宋体"/>
          <w:color w:val="auto"/>
          <w:spacing w:val="-16"/>
          <w:szCs w:val="28"/>
          <w:highlight w:val="none"/>
        </w:rPr>
        <w:t>占用；药品支持货票同行等</w:t>
      </w:r>
      <w:r>
        <w:rPr>
          <w:rFonts w:hint="eastAsia" w:hAnsi="宋体" w:cs="宋体"/>
          <w:color w:val="auto"/>
          <w:szCs w:val="28"/>
          <w:highlight w:val="none"/>
        </w:rPr>
        <w:t>多种模式的结算，降低药品资金占用；后勤</w:t>
      </w:r>
      <w:r>
        <w:rPr>
          <w:rFonts w:hint="eastAsia" w:hAnsi="宋体" w:cs="宋体"/>
          <w:color w:val="auto"/>
          <w:spacing w:val="-16"/>
          <w:szCs w:val="28"/>
          <w:highlight w:val="none"/>
        </w:rPr>
        <w:t>总务物资支持货票同行结算模式。</w:t>
      </w:r>
    </w:p>
    <w:p w14:paraId="1B83CA9A">
      <w:pPr>
        <w:pageBreakBefore w:val="0"/>
        <w:kinsoku/>
        <w:wordWrap/>
        <w:overflowPunct/>
        <w:topLinePunct w:val="0"/>
        <w:autoSpaceDE/>
        <w:autoSpaceDN/>
        <w:bidi w:val="0"/>
        <w:adjustRightInd/>
        <w:snapToGrid w:val="0"/>
        <w:spacing w:line="500" w:lineRule="exact"/>
        <w:ind w:firstLine="556" w:firstLineChars="200"/>
        <w:textAlignment w:val="auto"/>
        <w:rPr>
          <w:rFonts w:hint="eastAsia" w:ascii="宋体" w:hAnsi="宋体" w:cs="宋体"/>
          <w:color w:val="auto"/>
          <w:spacing w:val="-1"/>
          <w:sz w:val="28"/>
          <w:szCs w:val="28"/>
          <w:highlight w:val="none"/>
        </w:rPr>
      </w:pPr>
      <w:r>
        <w:rPr>
          <w:rFonts w:hint="eastAsia" w:ascii="宋体" w:hAnsi="宋体" w:cs="宋体"/>
          <w:color w:val="auto"/>
          <w:spacing w:val="-1"/>
          <w:sz w:val="28"/>
          <w:szCs w:val="28"/>
          <w:highlight w:val="none"/>
        </w:rPr>
        <w:t>（3）服务模式：由专业的第三方运营团队实现院内物流精细化管理服务模式，按时保质完成。</w:t>
      </w:r>
    </w:p>
    <w:p w14:paraId="25C5DBD5">
      <w:pPr>
        <w:keepNext w:val="0"/>
        <w:keepLines w:val="0"/>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3.按照不同管理对象（重点科室和项目）实施相应的精细化管理： </w:t>
      </w:r>
    </w:p>
    <w:p w14:paraId="3E0AE9B8">
      <w:pPr>
        <w:keepNext w:val="0"/>
        <w:keepLines w:val="0"/>
        <w:pageBreakBefore w:val="0"/>
        <w:widowControl/>
        <w:kinsoku/>
        <w:wordWrap/>
        <w:overflowPunct/>
        <w:topLinePunct w:val="0"/>
        <w:autoSpaceDE/>
        <w:autoSpaceDN/>
        <w:bidi w:val="0"/>
        <w:adjustRightInd/>
        <w:spacing w:line="500" w:lineRule="exact"/>
        <w:ind w:firstLine="560" w:firstLineChars="200"/>
        <w:jc w:val="left"/>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（1）手术室精细化管理方案，实现手术耗材的全流程追溯监管和手术室线上术式套包模式管理。  </w:t>
      </w:r>
    </w:p>
    <w:p w14:paraId="70563AFF">
      <w:pPr>
        <w:keepNext w:val="0"/>
        <w:keepLines w:val="0"/>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（2）骨科定制类耗材精细化管理方案，实现骨科耗材全程信息化管理。 </w:t>
      </w:r>
    </w:p>
    <w:p w14:paraId="50959ED2">
      <w:pPr>
        <w:keepNext w:val="0"/>
        <w:keepLines w:val="0"/>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（3）提供内镜中心、介入中心精细化管理方案，实现医用耗材全流程可视化追溯。 </w:t>
      </w:r>
    </w:p>
    <w:p w14:paraId="384CA15E">
      <w:pPr>
        <w:keepNext w:val="0"/>
        <w:keepLines w:val="0"/>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（4）提供检验试剂精细化管理方案，实现全程条码追溯管理、有效期及开瓶效期管理等。</w:t>
      </w:r>
    </w:p>
    <w:p w14:paraId="645D45F7">
      <w:pPr>
        <w:keepNext w:val="0"/>
        <w:keepLines w:val="0"/>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（5）提供三级库精细化管理方案，实现HIS收费与医用物资智慧物流管理系统相关联，生成差异化报表，实现不同病区之间的差异率对比分析。</w:t>
      </w:r>
    </w:p>
    <w:p w14:paraId="0D131DC0">
      <w:pPr>
        <w:keepNext w:val="0"/>
        <w:keepLines w:val="0"/>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（6）根据医院管理需要，提供可收费材料精细化管理方案，实行全流程追溯监管。</w:t>
      </w:r>
    </w:p>
    <w:p w14:paraId="013B8B4F">
      <w:pPr>
        <w:keepNext w:val="0"/>
        <w:keepLines w:val="0"/>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（7）根据医院管理需要，提供OCR技术应用，实现基于OCR识别完成发票信息填充、基于OCR技术的资质证照管理。</w:t>
      </w:r>
    </w:p>
    <w:p w14:paraId="0CE6F964">
      <w:pPr>
        <w:pStyle w:val="8"/>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（8）支持药库的库位按照不同属性进行区分，存储符合要求的药品。支持按照库位进行药品库存查询、在库质量管理、常规业务操作等。</w:t>
      </w:r>
    </w:p>
    <w:p w14:paraId="276F1FF2">
      <w:pPr>
        <w:keepNext w:val="0"/>
        <w:keepLines w:val="0"/>
        <w:pageBreakBefore w:val="0"/>
        <w:widowControl/>
        <w:kinsoku/>
        <w:wordWrap/>
        <w:overflowPunct/>
        <w:topLinePunct w:val="0"/>
        <w:autoSpaceDE/>
        <w:autoSpaceDN/>
        <w:bidi w:val="0"/>
        <w:adjustRightInd/>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（9）支持药品新品种的询价、审批、通知、资料审核、用药评价等功能，实现新药从首次入院的全程记录等。</w:t>
      </w:r>
    </w:p>
    <w:p w14:paraId="6EF6F407">
      <w:pPr>
        <w:keepNext w:val="0"/>
        <w:keepLines w:val="0"/>
        <w:pageBreakBefore w:val="0"/>
        <w:widowControl/>
        <w:kinsoku/>
        <w:wordWrap/>
        <w:overflowPunct/>
        <w:topLinePunct w:val="0"/>
        <w:autoSpaceDE/>
        <w:autoSpaceDN/>
        <w:bidi w:val="0"/>
        <w:adjustRightInd/>
        <w:spacing w:line="500" w:lineRule="exact"/>
        <w:ind w:firstLine="560" w:firstLineChars="200"/>
        <w:textAlignment w:val="auto"/>
        <w:rPr>
          <w:rFonts w:hint="eastAsia" w:ascii="宋体" w:hAnsi="宋体" w:cs="宋体"/>
          <w:color w:val="auto"/>
          <w:kern w:val="0"/>
          <w:sz w:val="28"/>
          <w:szCs w:val="28"/>
          <w:highlight w:val="none"/>
        </w:rPr>
      </w:pPr>
      <w:r>
        <w:rPr>
          <w:rFonts w:hint="eastAsia" w:ascii="宋体" w:hAnsi="宋体" w:cs="宋体"/>
          <w:color w:val="auto"/>
          <w:sz w:val="28"/>
          <w:szCs w:val="28"/>
          <w:highlight w:val="none"/>
        </w:rPr>
        <w:t>（10）根据医院管理需要，</w:t>
      </w:r>
      <w:r>
        <w:rPr>
          <w:rFonts w:hint="eastAsia" w:ascii="宋体" w:hAnsi="宋体" w:cs="宋体"/>
          <w:color w:val="auto"/>
          <w:kern w:val="0"/>
          <w:sz w:val="28"/>
          <w:szCs w:val="28"/>
          <w:highlight w:val="none"/>
        </w:rPr>
        <w:t>实现药库至药房主动推送服务模式。</w:t>
      </w:r>
    </w:p>
    <w:p w14:paraId="30827B54">
      <w:pPr>
        <w:pageBreakBefore w:val="0"/>
        <w:widowControl/>
        <w:kinsoku/>
        <w:wordWrap/>
        <w:overflowPunct/>
        <w:topLinePunct w:val="0"/>
        <w:autoSpaceDE/>
        <w:autoSpaceDN/>
        <w:bidi w:val="0"/>
        <w:adjustRightInd/>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（11）根据医院管理需要，实现药品在库的全流程追溯。</w:t>
      </w:r>
    </w:p>
    <w:p w14:paraId="136C58CA">
      <w:pPr>
        <w:pageBreakBefore w:val="0"/>
        <w:widowControl/>
        <w:kinsoku/>
        <w:wordWrap/>
        <w:overflowPunct/>
        <w:topLinePunct w:val="0"/>
        <w:autoSpaceDE/>
        <w:autoSpaceDN/>
        <w:bidi w:val="0"/>
        <w:adjustRightInd/>
        <w:spacing w:line="500" w:lineRule="exact"/>
        <w:ind w:firstLine="562" w:firstLineChars="200"/>
        <w:textAlignment w:val="auto"/>
        <w:rPr>
          <w:rFonts w:hint="eastAsia" w:ascii="宋体" w:hAnsi="宋体" w:cs="宋体"/>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color w:val="auto"/>
          <w:spacing w:val="1"/>
          <w:sz w:val="28"/>
          <w:szCs w:val="28"/>
          <w:highlight w:val="none"/>
        </w:rPr>
        <w:t>4.投标人要为医院构建一套新的医院物资智能化管理模式，有具体的管理办法、制度、标准流程，能够</w:t>
      </w:r>
      <w:r>
        <w:rPr>
          <w:rFonts w:hint="eastAsia" w:ascii="宋体" w:hAnsi="宋体" w:cs="宋体"/>
          <w:color w:val="auto"/>
          <w:spacing w:val="-1"/>
          <w:sz w:val="28"/>
          <w:szCs w:val="28"/>
          <w:highlight w:val="none"/>
        </w:rPr>
        <w:t>形成高效运营的管理体系。必须协助医院完成医院物资正常运营，保证院内物流配送物资的及时性、准确性、安全性，确保医院临床使用医院物资的稳定可靠，并负责承担医院医用耗材、药品、总务后勤物资的管理及相关人员业务培</w:t>
      </w:r>
      <w:r>
        <w:rPr>
          <w:rFonts w:hint="eastAsia" w:ascii="宋体" w:hAnsi="宋体" w:cs="宋体"/>
          <w:color w:val="auto"/>
          <w:spacing w:val="-6"/>
          <w:sz w:val="28"/>
          <w:szCs w:val="28"/>
          <w:highlight w:val="none"/>
        </w:rPr>
        <w:t>训。中标服务商要为医院物流管理提供服务，保障医院医用</w:t>
      </w:r>
      <w:r>
        <w:rPr>
          <w:rFonts w:hint="eastAsia" w:ascii="宋体" w:hAnsi="宋体" w:cs="宋体"/>
          <w:color w:val="auto"/>
          <w:spacing w:val="-1"/>
          <w:sz w:val="28"/>
          <w:szCs w:val="28"/>
          <w:highlight w:val="none"/>
        </w:rPr>
        <w:t>耗材、药品、总务后勤物资</w:t>
      </w:r>
      <w:r>
        <w:rPr>
          <w:rFonts w:hint="eastAsia" w:ascii="宋体" w:hAnsi="宋体" w:cs="宋体"/>
          <w:color w:val="auto"/>
          <w:spacing w:val="-6"/>
          <w:sz w:val="28"/>
          <w:szCs w:val="28"/>
          <w:highlight w:val="none"/>
        </w:rPr>
        <w:t>院内配送全流程，</w:t>
      </w:r>
      <w:r>
        <w:rPr>
          <w:rFonts w:hint="eastAsia" w:ascii="宋体" w:hAnsi="宋体" w:cs="宋体"/>
          <w:color w:val="auto"/>
          <w:sz w:val="28"/>
          <w:szCs w:val="28"/>
          <w:highlight w:val="none"/>
        </w:rPr>
        <w:t>驻点人员需满足医院院内物流供应链运营服务。</w:t>
      </w:r>
    </w:p>
    <w:p w14:paraId="0ECF5B37">
      <w:pPr>
        <w:pStyle w:val="2"/>
        <w:keepNext w:val="0"/>
        <w:keepLines w:val="0"/>
        <w:pageBreakBefore w:val="0"/>
        <w:widowControl w:val="0"/>
        <w:kinsoku/>
        <w:wordWrap/>
        <w:overflowPunct/>
        <w:topLinePunct w:val="0"/>
        <w:autoSpaceDE/>
        <w:autoSpaceDN/>
        <w:bidi w:val="0"/>
        <w:adjustRightInd/>
        <w:snapToGrid/>
        <w:spacing w:line="500" w:lineRule="exact"/>
        <w:ind w:right="102" w:firstLine="562" w:firstLineChars="200"/>
        <w:textAlignment w:val="auto"/>
        <w:rPr>
          <w:rFonts w:hint="eastAsia" w:hAnsi="宋体" w:cs="宋体"/>
          <w:color w:val="auto"/>
          <w:szCs w:val="28"/>
          <w:highlight w:val="none"/>
        </w:rPr>
      </w:pPr>
      <w:r>
        <w:rPr>
          <w:rFonts w:hint="eastAsia" w:hAnsi="宋体" w:cs="宋体"/>
          <w:b/>
          <w:color w:val="auto"/>
          <w:szCs w:val="28"/>
          <w:highlight w:val="none"/>
        </w:rPr>
        <w:t>▲</w:t>
      </w:r>
      <w:r>
        <w:rPr>
          <w:rFonts w:hint="eastAsia" w:hAnsi="宋体" w:cs="宋体"/>
          <w:color w:val="auto"/>
          <w:spacing w:val="1"/>
          <w:szCs w:val="28"/>
          <w:highlight w:val="none"/>
        </w:rPr>
        <w:t>5.投标人须承担医院智能化中心库及周转库的建设（包含网络</w:t>
      </w:r>
      <w:r>
        <w:rPr>
          <w:rFonts w:hint="eastAsia" w:hAnsi="宋体" w:cs="宋体"/>
          <w:color w:val="auto"/>
          <w:szCs w:val="28"/>
          <w:highlight w:val="none"/>
        </w:rPr>
        <w:t>）费用和运营费用，并配置相应的软件、</w:t>
      </w:r>
      <w:r>
        <w:rPr>
          <w:rFonts w:hint="eastAsia" w:hAnsi="宋体" w:cs="宋体"/>
          <w:color w:val="auto"/>
          <w:spacing w:val="-1"/>
          <w:szCs w:val="28"/>
          <w:highlight w:val="none"/>
        </w:rPr>
        <w:t>硬件设备，使其能够满足智能化模式的有效运行（库房大小满足存储需求，具备电脑、打印机、移动</w:t>
      </w:r>
      <w:r>
        <w:rPr>
          <w:rFonts w:hint="eastAsia" w:hAnsi="宋体" w:cs="宋体"/>
          <w:color w:val="auto"/>
          <w:spacing w:val="-50"/>
          <w:szCs w:val="28"/>
          <w:highlight w:val="none"/>
        </w:rPr>
        <w:t xml:space="preserve"> </w:t>
      </w:r>
      <w:r>
        <w:rPr>
          <w:rFonts w:hint="eastAsia" w:hAnsi="宋体" w:cs="宋体"/>
          <w:color w:val="auto"/>
          <w:spacing w:val="-1"/>
          <w:szCs w:val="28"/>
          <w:highlight w:val="none"/>
        </w:rPr>
        <w:t>PDA</w:t>
      </w:r>
      <w:r>
        <w:rPr>
          <w:rFonts w:hint="eastAsia" w:hAnsi="宋体" w:cs="宋体"/>
          <w:color w:val="auto"/>
          <w:spacing w:val="-44"/>
          <w:szCs w:val="28"/>
          <w:highlight w:val="none"/>
        </w:rPr>
        <w:t xml:space="preserve"> </w:t>
      </w:r>
      <w:r>
        <w:rPr>
          <w:rFonts w:hint="eastAsia" w:hAnsi="宋体" w:cs="宋体"/>
          <w:color w:val="auto"/>
          <w:spacing w:val="-1"/>
          <w:szCs w:val="28"/>
          <w:highlight w:val="none"/>
        </w:rPr>
        <w:t>等系统终端设备及配套定制类货架、库内拣货车、周转箱、下送箱等物流作业工具</w:t>
      </w:r>
      <w:r>
        <w:rPr>
          <w:rFonts w:hint="eastAsia" w:hAnsi="宋体" w:cs="宋体"/>
          <w:color w:val="auto"/>
          <w:spacing w:val="-2"/>
          <w:szCs w:val="28"/>
          <w:highlight w:val="none"/>
        </w:rPr>
        <w:t>）；</w:t>
      </w:r>
      <w:r>
        <w:rPr>
          <w:rFonts w:hint="eastAsia" w:hAnsi="宋体" w:cs="宋体"/>
          <w:color w:val="auto"/>
          <w:spacing w:val="-1"/>
          <w:szCs w:val="28"/>
          <w:highlight w:val="none"/>
        </w:rPr>
        <w:t>投标</w:t>
      </w:r>
      <w:r>
        <w:rPr>
          <w:rFonts w:hint="eastAsia" w:hAnsi="宋体" w:cs="宋体"/>
          <w:color w:val="auto"/>
          <w:spacing w:val="1"/>
          <w:szCs w:val="28"/>
          <w:highlight w:val="none"/>
        </w:rPr>
        <w:t>人需承担医院各级消耗点（包括临床科室、医技科室、药房、行政科室等）的建设费用，</w:t>
      </w:r>
      <w:r>
        <w:rPr>
          <w:rFonts w:hint="eastAsia" w:hAnsi="宋体" w:cs="宋体"/>
          <w:color w:val="auto"/>
          <w:spacing w:val="-1"/>
          <w:szCs w:val="28"/>
          <w:highlight w:val="none"/>
        </w:rPr>
        <w:t>使其能够满足智能化模式的有效运行（二级库房内要具有电脑、扫描设备、货架等</w:t>
      </w:r>
      <w:r>
        <w:rPr>
          <w:rFonts w:hint="eastAsia" w:hAnsi="宋体" w:cs="宋体"/>
          <w:color w:val="auto"/>
          <w:spacing w:val="4"/>
          <w:szCs w:val="28"/>
          <w:highlight w:val="none"/>
        </w:rPr>
        <w:t>），</w:t>
      </w:r>
      <w:r>
        <w:rPr>
          <w:rFonts w:hint="eastAsia" w:hAnsi="宋体" w:cs="宋体"/>
          <w:color w:val="auto"/>
          <w:spacing w:val="-1"/>
          <w:szCs w:val="28"/>
          <w:highlight w:val="none"/>
        </w:rPr>
        <w:t>符合法律法规及医院要求。</w:t>
      </w:r>
      <w:r>
        <w:rPr>
          <w:rFonts w:hint="eastAsia" w:hAnsi="宋体" w:cs="宋体"/>
          <w:b/>
          <w:bCs/>
          <w:color w:val="auto"/>
          <w:spacing w:val="-1"/>
          <w:szCs w:val="28"/>
          <w:highlight w:val="none"/>
        </w:rPr>
        <w:t>中标人同时承担项目运行所必须的水、电、气、安保、保洁、场地使用等，预估金额人民币50万元整/年。</w:t>
      </w:r>
    </w:p>
    <w:p w14:paraId="1BB78777">
      <w:pPr>
        <w:pStyle w:val="2"/>
        <w:keepNext w:val="0"/>
        <w:keepLines w:val="0"/>
        <w:pageBreakBefore w:val="0"/>
        <w:widowControl w:val="0"/>
        <w:kinsoku/>
        <w:wordWrap/>
        <w:overflowPunct/>
        <w:topLinePunct w:val="0"/>
        <w:autoSpaceDE/>
        <w:autoSpaceDN/>
        <w:bidi w:val="0"/>
        <w:adjustRightInd/>
        <w:snapToGrid/>
        <w:spacing w:line="500" w:lineRule="exact"/>
        <w:ind w:right="102" w:firstLine="564" w:firstLineChars="200"/>
        <w:textAlignment w:val="auto"/>
        <w:rPr>
          <w:rFonts w:hint="eastAsia" w:hAnsi="宋体" w:cs="宋体"/>
          <w:color w:val="auto"/>
          <w:spacing w:val="-1"/>
          <w:szCs w:val="28"/>
          <w:highlight w:val="none"/>
        </w:rPr>
      </w:pPr>
      <w:r>
        <w:rPr>
          <w:rFonts w:hint="eastAsia" w:hAnsi="宋体" w:cs="宋体"/>
          <w:color w:val="auto"/>
          <w:spacing w:val="1"/>
          <w:szCs w:val="28"/>
          <w:highlight w:val="none"/>
        </w:rPr>
        <w:t>6.投标人应具备医院物资供应链运营管理服务的能力，协助医院完成医院物资的计划汇总、采购订单发</w:t>
      </w:r>
      <w:r>
        <w:rPr>
          <w:rFonts w:hint="eastAsia" w:hAnsi="宋体" w:cs="宋体"/>
          <w:color w:val="auto"/>
          <w:spacing w:val="-1"/>
          <w:szCs w:val="28"/>
          <w:highlight w:val="none"/>
        </w:rPr>
        <w:t>送、供应商赋码、验收、入库、上架、拣货、加工及推送、备货、配送至中心库和周转库、配送至医院各</w:t>
      </w:r>
      <w:r>
        <w:rPr>
          <w:rFonts w:hint="eastAsia" w:hAnsi="宋体" w:cs="宋体"/>
          <w:color w:val="auto"/>
          <w:szCs w:val="28"/>
          <w:highlight w:val="none"/>
        </w:rPr>
        <w:t>消耗点和提供包括但不限于院内各级库房的验收、仓储和</w:t>
      </w:r>
      <w:r>
        <w:rPr>
          <w:rFonts w:hint="eastAsia" w:hAnsi="宋体" w:cs="宋体"/>
          <w:color w:val="auto"/>
          <w:spacing w:val="-1"/>
          <w:szCs w:val="28"/>
          <w:highlight w:val="none"/>
        </w:rPr>
        <w:t>养护等协助服务环节等各项服务。</w:t>
      </w:r>
    </w:p>
    <w:p w14:paraId="161F6DF3">
      <w:pPr>
        <w:pStyle w:val="2"/>
        <w:keepNext w:val="0"/>
        <w:keepLines w:val="0"/>
        <w:pageBreakBefore w:val="0"/>
        <w:widowControl w:val="0"/>
        <w:kinsoku/>
        <w:wordWrap/>
        <w:overflowPunct/>
        <w:topLinePunct w:val="0"/>
        <w:autoSpaceDE/>
        <w:autoSpaceDN/>
        <w:bidi w:val="0"/>
        <w:adjustRightInd/>
        <w:snapToGrid/>
        <w:spacing w:line="500" w:lineRule="exact"/>
        <w:ind w:right="102" w:firstLine="560" w:firstLineChars="200"/>
        <w:textAlignment w:val="auto"/>
        <w:rPr>
          <w:rFonts w:hint="eastAsia" w:hAnsi="宋体" w:cs="宋体"/>
          <w:color w:val="auto"/>
          <w:szCs w:val="28"/>
          <w:highlight w:val="none"/>
        </w:rPr>
      </w:pPr>
      <w:r>
        <w:rPr>
          <w:rFonts w:hint="eastAsia" w:hAnsi="宋体" w:cs="宋体"/>
          <w:color w:val="auto"/>
          <w:szCs w:val="28"/>
          <w:highlight w:val="none"/>
        </w:rPr>
        <w:t>▲7.投标人须为项目实施配置工作人员：其中SPD管理服务人员≥14人（耗材、试剂≥7人，药品≥5人（药学专业），后勤物资≥2人，负责全院耗材、试剂、药品及后勤物资的管理工作）；药品等院内运送服务人员≥40人（实行昼夜两班轮岗、全年24小时不间断值守。人员按病区、功能区域定岗分工，统筹承担全院常规配送工作，全程规范台账登记与闭环追溯管理，全面保障院内物资供应安全、高效、有序。）。</w:t>
      </w:r>
    </w:p>
    <w:p w14:paraId="4274CCF2">
      <w:pPr>
        <w:pStyle w:val="2"/>
        <w:keepNext w:val="0"/>
        <w:keepLines w:val="0"/>
        <w:pageBreakBefore w:val="0"/>
        <w:widowControl w:val="0"/>
        <w:kinsoku/>
        <w:wordWrap/>
        <w:overflowPunct/>
        <w:topLinePunct w:val="0"/>
        <w:autoSpaceDE/>
        <w:autoSpaceDN/>
        <w:bidi w:val="0"/>
        <w:adjustRightInd/>
        <w:snapToGrid/>
        <w:spacing w:line="500" w:lineRule="exact"/>
        <w:ind w:right="102" w:firstLine="562" w:firstLineChars="200"/>
        <w:textAlignment w:val="auto"/>
        <w:rPr>
          <w:rFonts w:hint="eastAsia" w:hAnsi="宋体" w:cs="宋体"/>
          <w:b/>
          <w:bCs/>
          <w:color w:val="auto"/>
          <w:szCs w:val="28"/>
          <w:highlight w:val="none"/>
        </w:rPr>
      </w:pPr>
      <w:r>
        <w:rPr>
          <w:rFonts w:hint="eastAsia" w:hAnsi="宋体" w:cs="宋体"/>
          <w:b/>
          <w:bCs/>
          <w:color w:val="auto"/>
          <w:szCs w:val="28"/>
          <w:highlight w:val="none"/>
        </w:rPr>
        <w:t>注：</w:t>
      </w:r>
      <w:r>
        <w:rPr>
          <w:rFonts w:hint="eastAsia" w:hAnsi="宋体" w:cs="宋体"/>
          <w:b/>
          <w:bCs/>
          <w:color w:val="auto"/>
          <w:szCs w:val="28"/>
          <w:highlight w:val="none"/>
          <w:u w:val="none"/>
        </w:rPr>
        <w:t>投</w:t>
      </w:r>
      <w:r>
        <w:rPr>
          <w:rFonts w:hint="eastAsia" w:hAnsi="宋体" w:cs="宋体"/>
          <w:b/>
          <w:bCs/>
          <w:color w:val="auto"/>
          <w:szCs w:val="28"/>
          <w:highlight w:val="none"/>
        </w:rPr>
        <w:t>标文件中提供满足上述要求的承诺函即可（承诺函格式自拟），投标文件中无须提供满足上述要求的人员信息及证件，于合同签订前中标人须向招标人提供所有人员的花名册及相关证件复印件，花名册内容至少包含人员姓名、所任岗位、专业等信息。</w:t>
      </w:r>
    </w:p>
    <w:p w14:paraId="4C514976">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8.软件系统使用面向对象语言开发，支持二次开发，可按照招标人的需求进行定制开发及优化，与其他系统的接口支持 WebService等主流模式，支持实时和异步实现各系统间数据同步与互动，数据传输效率高，基于事务处理，保证数据一致性。 </w:t>
      </w:r>
    </w:p>
    <w:p w14:paraId="4F8D651F">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（1）支持通用的 Windows、UNIX、Linux 操作系统； </w:t>
      </w:r>
    </w:p>
    <w:p w14:paraId="0AF5119F">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（2）支持 Oracle 19C  以上版本的数据库管理软件； </w:t>
      </w:r>
    </w:p>
    <w:p w14:paraId="4EF75F83">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（3）支持 PDA手持终端操作，实现 PDA 手持终端扫描数据与院内物流系统数据进行实时交互；</w:t>
      </w:r>
    </w:p>
    <w:p w14:paraId="101D76F8">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（4）提供手机APP，支持供应商及医院端应用，实现移动端数据管理； </w:t>
      </w:r>
    </w:p>
    <w:p w14:paraId="144709BD">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（5）支持订单短信提醒；</w:t>
      </w:r>
    </w:p>
    <w:p w14:paraId="0FE0B5FE">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color w:val="auto"/>
          <w:sz w:val="28"/>
          <w:szCs w:val="28"/>
          <w:highlight w:val="none"/>
        </w:rPr>
        <w:t xml:space="preserve"> 9.接口管理： </w:t>
      </w:r>
    </w:p>
    <w:p w14:paraId="4BD62A67">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（1）支持与招标人医院现有应用集成平台的数据集成； </w:t>
      </w:r>
    </w:p>
    <w:p w14:paraId="06E5FC8E">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（2）支持与招标人医院指定的系统完成医院字典主数据的同步接口； </w:t>
      </w:r>
    </w:p>
    <w:p w14:paraId="339D85AB">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（3）支持与HIS系统实现对接；</w:t>
      </w:r>
    </w:p>
    <w:p w14:paraId="39ED73C5">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（4）能够实现财务对接，满足招标人医院财务科室的财务需求； </w:t>
      </w:r>
    </w:p>
    <w:p w14:paraId="03161C3E">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（5）技术上能够实现与省、市集中采购平台系统的对接，实现下单、到货、结算数据的对接</w:t>
      </w:r>
    </w:p>
    <w:p w14:paraId="24D0B98E">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（6）为实现方案中描述的功能，与其他系统间的数据对接。 </w:t>
      </w:r>
    </w:p>
    <w:p w14:paraId="71CB3288">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10.投标人须提供详细的网络安全拓扑图。 </w:t>
      </w:r>
    </w:p>
    <w:p w14:paraId="44DD8F1B">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color w:val="auto"/>
          <w:sz w:val="28"/>
          <w:szCs w:val="28"/>
          <w:highlight w:val="none"/>
        </w:rPr>
        <w:t xml:space="preserve">11.中标人只能为招标人医院的物流管理提供院内物流服务，保障医院医用物资的智能采购和院内物流。 </w:t>
      </w:r>
    </w:p>
    <w:p w14:paraId="649707E1">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12.中标人负责招标人医院相关部门制定的医用物资供应目录下所有医用物资的院内物流管理工作。</w:t>
      </w:r>
    </w:p>
    <w:p w14:paraId="7B45D55E">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13.中标人具有完善的服务质量保证体系和制度，把好服务质量关，承诺对招标人医院的服务质量负全责。如因院内物流服务质量出现问题，给招标人医院造成纠纷和经济损失，由中标人承担全部责任。</w:t>
      </w:r>
    </w:p>
    <w:p w14:paraId="0290F709">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color w:val="auto"/>
          <w:sz w:val="28"/>
          <w:szCs w:val="28"/>
          <w:highlight w:val="none"/>
        </w:rPr>
        <w:t>14.确保运行数据的安全性，通过标准化接口向院内固定资产端提供标准信息数据。通过数据脱敏，确保信息安全，保证院外及院内业务信息数据统一规范，隔离外部可能出现的信息攻击，实现院内外信息互通和统一管理。</w:t>
      </w:r>
      <w:r>
        <w:rPr>
          <w:rFonts w:hint="eastAsia" w:ascii="宋体" w:hAnsi="宋体" w:cs="宋体"/>
          <w:b/>
          <w:bCs/>
          <w:color w:val="auto"/>
          <w:sz w:val="28"/>
          <w:szCs w:val="28"/>
          <w:highlight w:val="none"/>
        </w:rPr>
        <w:t>投标时需提供方案。</w:t>
      </w:r>
      <w:r>
        <w:rPr>
          <w:rFonts w:hint="eastAsia" w:ascii="宋体" w:hAnsi="宋体" w:cs="宋体"/>
          <w:color w:val="auto"/>
          <w:sz w:val="28"/>
          <w:szCs w:val="28"/>
          <w:highlight w:val="none"/>
        </w:rPr>
        <w:t>中标人应与医院签署数据保密协议，所有涉及医院信息的发布、使用都需要招标人确认，不能对耗材、试剂、药品进行“统方”，不能向外泄露病人信息。若违反上述要求，一经发现，招标人有权立即终止合作并上报相关监管部门。</w:t>
      </w:r>
    </w:p>
    <w:p w14:paraId="000B2DD6">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15.中标人负责所有服务端和终端设备安装调试，符合安全基线要求。</w:t>
      </w:r>
    </w:p>
    <w:p w14:paraId="639FBDA5">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16、投标人须与医院签订信息安全保密协议，承担保密义务，确保相关业务数据的安全，如有违反，则要承担由此产生的全部责任，包括法律责任、经济损失等。</w:t>
      </w:r>
    </w:p>
    <w:p w14:paraId="3E641216">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17、在系统上线期间要求过渡平稳，投标时须提供新老系统切换方案。</w:t>
      </w:r>
    </w:p>
    <w:p w14:paraId="3A57FDEE">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color w:val="auto"/>
          <w:sz w:val="28"/>
          <w:szCs w:val="28"/>
          <w:highlight w:val="none"/>
        </w:rPr>
      </w:pPr>
      <w:r>
        <w:rPr>
          <w:rFonts w:hint="eastAsia" w:ascii="宋体" w:hAnsi="宋体" w:cs="宋体"/>
          <w:b/>
          <w:bCs/>
          <w:color w:val="auto"/>
          <w:sz w:val="28"/>
          <w:szCs w:val="28"/>
          <w:highlight w:val="none"/>
        </w:rPr>
        <w:t>18、投标时须提供本项目信息化建设的具体进度表。</w:t>
      </w:r>
      <w:r>
        <w:rPr>
          <w:rFonts w:hint="eastAsia" w:ascii="宋体" w:hAnsi="宋体" w:cs="宋体"/>
          <w:color w:val="auto"/>
          <w:sz w:val="28"/>
          <w:szCs w:val="28"/>
          <w:highlight w:val="none"/>
        </w:rPr>
        <w:t>相关数据库及应用服务器必须安装在医院中心机房，所有数据归医院所有，投标人不能将其用作其他任何用途。项目实施过程中，应保证有足够数量具备相应能力的开发工程师常驻现场，负责维护工作。投标人应根据招标人的实际需求进行软件升级改造，所有费用由投标人承担，合同期满后投标人需对本项目软件系统提供免费维护及升级。</w:t>
      </w:r>
    </w:p>
    <w:p w14:paraId="54D0DFF7">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19、投标时须提供相关库房改造建设管理方案，实际建设方案须满足国家相关规定要求及等级医院评审相关要求。</w:t>
      </w:r>
    </w:p>
    <w:p w14:paraId="4AB33CEB">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color w:val="auto"/>
          <w:sz w:val="28"/>
          <w:szCs w:val="28"/>
          <w:highlight w:val="none"/>
        </w:rPr>
      </w:pPr>
      <w:r>
        <w:rPr>
          <w:rFonts w:hint="eastAsia" w:ascii="宋体" w:hAnsi="宋体" w:cs="宋体"/>
          <w:b/>
          <w:bCs/>
          <w:color w:val="auto"/>
          <w:sz w:val="28"/>
          <w:szCs w:val="28"/>
          <w:highlight w:val="none"/>
        </w:rPr>
        <w:t>20、投标时须提供完善的存量耗材解决方案。</w:t>
      </w:r>
      <w:r>
        <w:rPr>
          <w:rFonts w:hint="eastAsia" w:ascii="宋体" w:hAnsi="宋体" w:cs="宋体"/>
          <w:color w:val="auto"/>
          <w:sz w:val="28"/>
          <w:szCs w:val="28"/>
          <w:highlight w:val="none"/>
        </w:rPr>
        <w:t>医院在项目建设上线前的存量耗材，投标人需要进行有效对接和管理。投标人必须合理设置中心库、各二级库房的合理库存上下限，保障医院临床部门的日常使用需求，并提供完善合理的应急供应配送预案，保证急需使用的耗材及时配送到位。</w:t>
      </w:r>
    </w:p>
    <w:p w14:paraId="27527740">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b/>
          <w:bCs/>
          <w:color w:val="auto"/>
          <w:sz w:val="28"/>
          <w:szCs w:val="28"/>
          <w:highlight w:val="none"/>
        </w:rPr>
      </w:pPr>
      <w:r>
        <w:rPr>
          <w:rFonts w:hint="eastAsia" w:ascii="宋体" w:hAnsi="宋体" w:cs="宋体"/>
          <w:color w:val="auto"/>
          <w:sz w:val="28"/>
          <w:szCs w:val="28"/>
          <w:highlight w:val="none"/>
        </w:rPr>
        <w:t>21、投标人须提供专业的建设服务团队负责本项目的建设和实施，配备日常供应管理、入库、出库、配送人员。</w:t>
      </w:r>
      <w:r>
        <w:rPr>
          <w:rFonts w:hint="eastAsia" w:ascii="宋体" w:hAnsi="宋体" w:cs="宋体"/>
          <w:b/>
          <w:bCs/>
          <w:color w:val="auto"/>
          <w:sz w:val="28"/>
          <w:szCs w:val="28"/>
          <w:highlight w:val="none"/>
        </w:rPr>
        <w:t>投标时须提供完整的团队配置方案、各岗位和人员的工作职责及操作规范。</w:t>
      </w:r>
    </w:p>
    <w:p w14:paraId="5B6C0E97">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bookmarkStart w:id="7" w:name="_GoBack"/>
      <w:r>
        <w:rPr>
          <w:rFonts w:hint="eastAsia" w:ascii="宋体" w:hAnsi="宋体" w:cs="宋体"/>
          <w:color w:val="auto"/>
          <w:sz w:val="28"/>
          <w:szCs w:val="28"/>
          <w:highlight w:val="none"/>
        </w:rPr>
        <w:t>22</w:t>
      </w:r>
      <w:bookmarkEnd w:id="7"/>
      <w:r>
        <w:rPr>
          <w:rFonts w:hint="eastAsia" w:ascii="宋体" w:hAnsi="宋体" w:cs="宋体"/>
          <w:color w:val="auto"/>
          <w:sz w:val="28"/>
          <w:szCs w:val="28"/>
          <w:highlight w:val="none"/>
        </w:rPr>
        <w:t>、未经招标人同意，中标人不得在合同期内更换项目负责人、专职技术负责人及拟派人员。投标人须给团队人员按照国家及省、市的有关规定支付工资和缴纳正常的社会保险等。投标人要充分考虑所有工作人员的值休、轮休、法定假日休息以及岗位顶班、日常机动人员的配备以满足招标人的需要。</w:t>
      </w:r>
    </w:p>
    <w:p w14:paraId="2904C253">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23、投标人须提供完善的培训方案，要求按规定对服务团队的工作人员进行岗前培训，服务人员应全部经过岗位培训合格才能上岗。要求对招标人相关人员和科室进行相应的培训，如有必要，也可提供外出培训等服务。</w:t>
      </w:r>
    </w:p>
    <w:p w14:paraId="37AF6D59">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color w:val="auto"/>
          <w:sz w:val="28"/>
          <w:szCs w:val="28"/>
          <w:highlight w:val="none"/>
        </w:rPr>
        <w:t>24、中标人须接受医院主管部门按照国家相关法律法规、规范及医院相关规章制度，对各级库房标准化建设和医院物资日常供应配送的信息维护、产品入库、出库、临床服务满意度等进行监督、检查和指导，招标人对中标人进行不定期考核，具体考核内容以签订合同时的相关内容为准。如考核不合格达到规定次数的，中标人按规定缴纳罚款，同时招标人有权单方解除或终止合同。</w:t>
      </w:r>
    </w:p>
    <w:p w14:paraId="7CFB7673">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color w:val="auto"/>
          <w:sz w:val="28"/>
          <w:szCs w:val="28"/>
          <w:highlight w:val="none"/>
        </w:rPr>
        <w:t>25、中标人在与招标人合同期间，不得干涉招标人对医院物资采购供应商的选择。</w:t>
      </w:r>
    </w:p>
    <w:p w14:paraId="04750513">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color w:val="auto"/>
          <w:sz w:val="28"/>
          <w:szCs w:val="28"/>
          <w:highlight w:val="none"/>
        </w:rPr>
        <w:t>26、中标人在与招标人合同期间，不得干涉招标人对采购物资的使用自主权。</w:t>
      </w:r>
    </w:p>
    <w:p w14:paraId="14A8BF36">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color w:val="auto"/>
          <w:sz w:val="28"/>
          <w:szCs w:val="28"/>
          <w:highlight w:val="none"/>
        </w:rPr>
        <w:t>27、中标人在与招标人合同期间，不得就物资采购价格、采购方案等实质性内容与第三方商议谈判。</w:t>
      </w:r>
    </w:p>
    <w:p w14:paraId="271F1302">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28、中标人在项目实施过程中除须满足上述技术要求外，还必须配合招标人免费完成相关拓展工作需求。</w:t>
      </w:r>
    </w:p>
    <w:p w14:paraId="54139117">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29、中标人的各岗位员工应统一工作服装。</w:t>
      </w:r>
    </w:p>
    <w:p w14:paraId="67676AE0">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color w:val="auto"/>
          <w:sz w:val="28"/>
          <w:szCs w:val="28"/>
          <w:highlight w:val="none"/>
        </w:rPr>
        <w:t>30、中标人不得在合同期限内将本项目的管理权转包或分包。</w:t>
      </w:r>
    </w:p>
    <w:p w14:paraId="304F7979">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31、中标人有责任配合招标人接受上级领导部门的监督、检查，提供必须的资料。每年应将服务人员名单、所有管理及培训资料交一份给招标人，如有需要必须随时提供。合同终止时，中标人应将所有管理及服务一体化的资料交给招标人。</w:t>
      </w:r>
    </w:p>
    <w:p w14:paraId="7CC8AB68">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32、不接受中标人任何因遗漏报价而发生的费用追加。</w:t>
      </w:r>
    </w:p>
    <w:p w14:paraId="63F4E66C">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33、因招标人违反《中华人民共和国劳动法》等法律法规而造成的连带责任和损失全部由中标人承担。</w:t>
      </w:r>
    </w:p>
    <w:p w14:paraId="5AF90011">
      <w:pPr>
        <w:pageBreakBefore w:val="0"/>
        <w:kinsoku/>
        <w:wordWrap/>
        <w:overflowPunct/>
        <w:topLinePunct w:val="0"/>
        <w:autoSpaceDE/>
        <w:autoSpaceDN/>
        <w:bidi w:val="0"/>
        <w:adjustRightInd/>
        <w:snapToGrid w:val="0"/>
        <w:spacing w:line="50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34、中标人对缺陷不予更正，招标人有权另请其他单位更正，所发生的费用由中标人承担。</w:t>
      </w:r>
    </w:p>
    <w:p w14:paraId="4AECA228">
      <w:pPr>
        <w:pageBreakBefore w:val="0"/>
        <w:kinsoku/>
        <w:wordWrap/>
        <w:overflowPunct/>
        <w:topLinePunct w:val="0"/>
        <w:autoSpaceDE/>
        <w:autoSpaceDN/>
        <w:bidi w:val="0"/>
        <w:adjustRightInd/>
        <w:snapToGrid w:val="0"/>
        <w:spacing w:line="500" w:lineRule="exact"/>
        <w:ind w:firstLine="562" w:firstLineChars="200"/>
        <w:textAlignment w:val="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35、须招标人配合的工作和需要提供的条件，中标人应在投标文件中说明。</w:t>
      </w:r>
    </w:p>
    <w:p w14:paraId="7FF0C80B">
      <w:pPr>
        <w:pageBreakBefore w:val="0"/>
        <w:kinsoku/>
        <w:wordWrap/>
        <w:overflowPunct/>
        <w:topLinePunct w:val="0"/>
        <w:autoSpaceDE/>
        <w:autoSpaceDN/>
        <w:bidi w:val="0"/>
        <w:adjustRightInd/>
        <w:spacing w:line="500" w:lineRule="exact"/>
        <w:textAlignment w:val="auto"/>
      </w:pPr>
    </w:p>
    <w:sectPr>
      <w:pgSz w:w="11906" w:h="16838"/>
      <w:pgMar w:top="1440" w:right="1486" w:bottom="1440" w:left="16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722AEC"/>
    <w:rsid w:val="02722A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30"/>
      <w:szCs w:val="44"/>
    </w:rPr>
  </w:style>
  <w:style w:type="paragraph" w:styleId="5">
    <w:name w:val="heading 3"/>
    <w:basedOn w:val="1"/>
    <w:next w:val="1"/>
    <w:qFormat/>
    <w:uiPriority w:val="0"/>
    <w:pPr>
      <w:keepNext/>
      <w:keepLines/>
      <w:spacing w:before="260" w:after="260" w:line="416" w:lineRule="auto"/>
      <w:jc w:val="center"/>
      <w:outlineLvl w:val="2"/>
    </w:pPr>
    <w:rPr>
      <w:rFonts w:ascii="宋体"/>
      <w:b/>
      <w:bCs/>
      <w:sz w:val="32"/>
      <w:szCs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iPriority w:val="0"/>
    <w:rPr>
      <w:rFonts w:ascii="宋体" w:hAnsi="Arial"/>
      <w:sz w:val="28"/>
    </w:rPr>
  </w:style>
  <w:style w:type="paragraph" w:styleId="3">
    <w:name w:val="toc 2"/>
    <w:basedOn w:val="1"/>
    <w:next w:val="1"/>
    <w:qFormat/>
    <w:uiPriority w:val="39"/>
    <w:pPr>
      <w:ind w:left="210"/>
      <w:jc w:val="left"/>
    </w:pPr>
    <w:rPr>
      <w:smallCaps/>
      <w:sz w:val="24"/>
      <w:szCs w:val="24"/>
    </w:rPr>
  </w:style>
  <w:style w:type="paragraph" w:styleId="8">
    <w:name w:val="List Paragraph"/>
    <w:basedOn w:val="1"/>
    <w:qFormat/>
    <w:uiPriority w:val="99"/>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3</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2026-05-11T07:38:00Z</dcterms:created>
  <dc:creator>KL</dc:creator>
  <cp:lastModifiedBy>KL</cp:lastModifiedBy>
  <dcterms:modified xsi:type="dcterms:W3CDTF">2026-05-11T07:43:27Z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C93EEDC2A74F4688B94B984F71965FFF_11</vt:lpwstr>
  </property>
  <property fmtid="{D5CDD505-2E9C-101B-9397-08002B2CF9AE}" pid="4" name="KSOTemplateDocerSaveRecord">
    <vt:lpwstr>eyJoZGlkIjoiZGI5YjhmOTI5MTBkMjk0MjNjYWQxN2I1YTFhOWI1NDAiLCJ1c2VySWQiOiIzMzk4Mjc3NjMifQ==</vt:lpwstr>
  </property>
</Properties>
</file>