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06B3B0">
      <w:pPr>
        <w:pStyle w:val="2"/>
        <w:spacing w:line="240" w:lineRule="auto"/>
        <w:jc w:val="center"/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</w:pPr>
      <w:bookmarkStart w:id="0" w:name="_Toc20676"/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采购需求</w:t>
      </w:r>
      <w:bookmarkEnd w:id="0"/>
      <w:bookmarkStart w:id="1" w:name="_Toc457942816"/>
    </w:p>
    <w:p w14:paraId="526A56EA">
      <w:pPr>
        <w:spacing w:after="160" w:line="240" w:lineRule="auto"/>
        <w:jc w:val="both"/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b/>
          <w:bCs/>
          <w:color w:val="auto"/>
          <w:sz w:val="24"/>
          <w:szCs w:val="24"/>
          <w:highlight w:val="none"/>
          <w:lang w:val="en-US" w:eastAsia="zh-CN"/>
        </w:rPr>
        <w:t>一、货物指标重要性表述</w:t>
      </w:r>
    </w:p>
    <w:tbl>
      <w:tblPr>
        <w:tblStyle w:val="3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7"/>
        <w:gridCol w:w="2055"/>
        <w:gridCol w:w="4987"/>
      </w:tblGrid>
      <w:tr w14:paraId="311E3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87" w:type="dxa"/>
            <w:noWrap w:val="0"/>
            <w:vAlign w:val="center"/>
          </w:tcPr>
          <w:p w14:paraId="262CCDEC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标识重要性</w:t>
            </w:r>
          </w:p>
        </w:tc>
        <w:tc>
          <w:tcPr>
            <w:tcW w:w="2055" w:type="dxa"/>
            <w:noWrap w:val="0"/>
            <w:vAlign w:val="center"/>
          </w:tcPr>
          <w:p w14:paraId="0872C21A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标识符号</w:t>
            </w:r>
          </w:p>
        </w:tc>
        <w:tc>
          <w:tcPr>
            <w:tcW w:w="4987" w:type="dxa"/>
            <w:noWrap w:val="0"/>
            <w:vAlign w:val="center"/>
          </w:tcPr>
          <w:p w14:paraId="176E642E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符号说明</w:t>
            </w:r>
          </w:p>
        </w:tc>
      </w:tr>
      <w:tr w14:paraId="517CD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87" w:type="dxa"/>
            <w:noWrap w:val="0"/>
            <w:vAlign w:val="center"/>
          </w:tcPr>
          <w:p w14:paraId="5F25D7C7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核心产品</w:t>
            </w:r>
          </w:p>
        </w:tc>
        <w:tc>
          <w:tcPr>
            <w:tcW w:w="2055" w:type="dxa"/>
            <w:noWrap w:val="0"/>
            <w:vAlign w:val="center"/>
          </w:tcPr>
          <w:p w14:paraId="7BD23DF8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▲</w:t>
            </w:r>
          </w:p>
        </w:tc>
        <w:tc>
          <w:tcPr>
            <w:tcW w:w="4987" w:type="dxa"/>
            <w:noWrap w:val="0"/>
            <w:vAlign w:val="center"/>
          </w:tcPr>
          <w:p w14:paraId="680D6C1A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▲救护车</w:t>
            </w: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为本项目核心产品</w:t>
            </w:r>
          </w:p>
        </w:tc>
      </w:tr>
      <w:tr w14:paraId="3EDC6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87" w:type="dxa"/>
            <w:noWrap w:val="0"/>
            <w:vAlign w:val="center"/>
          </w:tcPr>
          <w:p w14:paraId="2AFF50AE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关键性指标项</w:t>
            </w: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2条</w:t>
            </w:r>
          </w:p>
        </w:tc>
        <w:tc>
          <w:tcPr>
            <w:tcW w:w="2055" w:type="dxa"/>
            <w:noWrap w:val="0"/>
            <w:vAlign w:val="center"/>
          </w:tcPr>
          <w:p w14:paraId="0D276087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█</w:t>
            </w:r>
          </w:p>
        </w:tc>
        <w:tc>
          <w:tcPr>
            <w:tcW w:w="4987" w:type="dxa"/>
            <w:noWrap w:val="0"/>
            <w:vAlign w:val="center"/>
          </w:tcPr>
          <w:p w14:paraId="6DF578CA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不满足该指标项投标无效</w:t>
            </w:r>
          </w:p>
        </w:tc>
      </w:tr>
      <w:tr w14:paraId="23F3B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87" w:type="dxa"/>
            <w:noWrap w:val="0"/>
            <w:vAlign w:val="center"/>
          </w:tcPr>
          <w:p w14:paraId="080AD10D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重要指标项17条</w:t>
            </w:r>
          </w:p>
        </w:tc>
        <w:tc>
          <w:tcPr>
            <w:tcW w:w="2055" w:type="dxa"/>
            <w:noWrap w:val="0"/>
            <w:vAlign w:val="center"/>
          </w:tcPr>
          <w:p w14:paraId="4EEB6E6F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●</w:t>
            </w:r>
          </w:p>
        </w:tc>
        <w:tc>
          <w:tcPr>
            <w:tcW w:w="4987" w:type="dxa"/>
            <w:noWrap w:val="0"/>
            <w:vAlign w:val="center"/>
          </w:tcPr>
          <w:p w14:paraId="2CF4C700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评分项</w:t>
            </w:r>
          </w:p>
        </w:tc>
      </w:tr>
      <w:tr w14:paraId="5DB1E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587" w:type="dxa"/>
            <w:noWrap w:val="0"/>
            <w:vAlign w:val="center"/>
          </w:tcPr>
          <w:p w14:paraId="486EFCDB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一般指标项21条</w:t>
            </w:r>
          </w:p>
        </w:tc>
        <w:tc>
          <w:tcPr>
            <w:tcW w:w="2055" w:type="dxa"/>
            <w:noWrap w:val="0"/>
            <w:vAlign w:val="center"/>
          </w:tcPr>
          <w:p w14:paraId="48A4F01E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★</w:t>
            </w:r>
          </w:p>
        </w:tc>
        <w:tc>
          <w:tcPr>
            <w:tcW w:w="4987" w:type="dxa"/>
            <w:noWrap w:val="0"/>
            <w:vAlign w:val="center"/>
          </w:tcPr>
          <w:p w14:paraId="738B7932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评分项</w:t>
            </w:r>
          </w:p>
        </w:tc>
      </w:tr>
      <w:tr w14:paraId="430D7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587" w:type="dxa"/>
            <w:noWrap w:val="0"/>
            <w:vAlign w:val="center"/>
          </w:tcPr>
          <w:p w14:paraId="2CF1C04A">
            <w:pPr>
              <w:spacing w:after="160" w:line="240" w:lineRule="auto"/>
              <w:jc w:val="center"/>
              <w:rPr>
                <w:rFonts w:hint="default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无标识项60条</w:t>
            </w:r>
          </w:p>
        </w:tc>
        <w:tc>
          <w:tcPr>
            <w:tcW w:w="2055" w:type="dxa"/>
            <w:noWrap w:val="0"/>
            <w:vAlign w:val="center"/>
          </w:tcPr>
          <w:p w14:paraId="3D90C45C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  <w:tc>
          <w:tcPr>
            <w:tcW w:w="4987" w:type="dxa"/>
            <w:noWrap w:val="0"/>
            <w:vAlign w:val="center"/>
          </w:tcPr>
          <w:p w14:paraId="3005DC97">
            <w:pPr>
              <w:spacing w:after="160" w:line="240" w:lineRule="auto"/>
              <w:jc w:val="center"/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自四、技术参数起算（不含标题），</w:t>
            </w: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  <w:t>≥5项未响应或负偏离，按无效投标处理</w:t>
            </w:r>
            <w:r>
              <w:rPr>
                <w:rFonts w:hint="eastAsia" w:ascii="宋体" w:hAnsi="宋体" w:eastAsia="宋体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</w:tr>
    </w:tbl>
    <w:p w14:paraId="5A55D6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二、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整体要求：</w:t>
      </w:r>
    </w:p>
    <w:p w14:paraId="798F1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█1、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shd w:val="clear" w:color="auto" w:fill="auto"/>
        </w:rPr>
        <w:t>本项目采用总价包干，报价包括采购需求中车辆、附属设备、安装改造费、工时费、运费、税费、检测等为完成本项目产生的全部费用，车辆上牌前所有手续的办理，购置税、上牌费等费用(除车辆保险外)均含在本项目预算内。采购人后期不再追加任何费用，供应商应谨慎报价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（投标文件中提供满足上述要求的承诺函，格式自拟。）</w:t>
      </w:r>
    </w:p>
    <w:p w14:paraId="782DD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█2、质保要求：救护车整车质保期≥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3年或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万公里（以先到者为准）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，车载设备整机质保期≥3年。（投标文件中提供满足上述要求的承诺函，格式自拟。）</w:t>
      </w:r>
    </w:p>
    <w:p w14:paraId="779C3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三、采购清单：</w:t>
      </w:r>
    </w:p>
    <w:tbl>
      <w:tblPr>
        <w:tblStyle w:val="39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433"/>
        <w:gridCol w:w="960"/>
        <w:gridCol w:w="807"/>
        <w:gridCol w:w="2038"/>
        <w:gridCol w:w="1421"/>
      </w:tblGrid>
      <w:tr w14:paraId="0F45B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center"/>
          </w:tcPr>
          <w:p w14:paraId="1284E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433" w:type="dxa"/>
            <w:noWrap w:val="0"/>
            <w:vAlign w:val="center"/>
          </w:tcPr>
          <w:p w14:paraId="506B1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960" w:type="dxa"/>
            <w:noWrap w:val="0"/>
            <w:vAlign w:val="center"/>
          </w:tcPr>
          <w:p w14:paraId="4108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noWrap w:val="0"/>
            <w:vAlign w:val="center"/>
          </w:tcPr>
          <w:p w14:paraId="281C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2038" w:type="dxa"/>
            <w:noWrap w:val="0"/>
            <w:vAlign w:val="center"/>
          </w:tcPr>
          <w:p w14:paraId="0630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421" w:type="dxa"/>
            <w:noWrap w:val="0"/>
            <w:vAlign w:val="center"/>
          </w:tcPr>
          <w:p w14:paraId="3CC20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AA05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center"/>
          </w:tcPr>
          <w:p w14:paraId="4D1A2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33" w:type="dxa"/>
            <w:noWrap w:val="0"/>
            <w:vAlign w:val="center"/>
          </w:tcPr>
          <w:p w14:paraId="15ED5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▲救护车</w:t>
            </w:r>
          </w:p>
        </w:tc>
        <w:tc>
          <w:tcPr>
            <w:tcW w:w="960" w:type="dxa"/>
            <w:noWrap w:val="0"/>
            <w:vAlign w:val="center"/>
          </w:tcPr>
          <w:p w14:paraId="445DD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center"/>
          </w:tcPr>
          <w:p w14:paraId="2C314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辆</w:t>
            </w:r>
          </w:p>
        </w:tc>
        <w:tc>
          <w:tcPr>
            <w:tcW w:w="2038" w:type="dxa"/>
            <w:noWrap w:val="0"/>
            <w:vAlign w:val="center"/>
          </w:tcPr>
          <w:p w14:paraId="2CB426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30</w:t>
            </w:r>
          </w:p>
        </w:tc>
        <w:tc>
          <w:tcPr>
            <w:tcW w:w="1421" w:type="dxa"/>
            <w:noWrap w:val="0"/>
            <w:vAlign w:val="center"/>
          </w:tcPr>
          <w:p w14:paraId="2A72B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核心产品</w:t>
            </w:r>
          </w:p>
        </w:tc>
      </w:tr>
      <w:tr w14:paraId="3052C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center"/>
          </w:tcPr>
          <w:p w14:paraId="05A13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433" w:type="dxa"/>
            <w:noWrap w:val="0"/>
            <w:vAlign w:val="center"/>
          </w:tcPr>
          <w:p w14:paraId="48DE1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转运呼吸机</w:t>
            </w:r>
          </w:p>
        </w:tc>
        <w:tc>
          <w:tcPr>
            <w:tcW w:w="960" w:type="dxa"/>
            <w:noWrap w:val="0"/>
            <w:vAlign w:val="center"/>
          </w:tcPr>
          <w:p w14:paraId="7CF8D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center"/>
          </w:tcPr>
          <w:p w14:paraId="27D70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noWrap w:val="0"/>
            <w:vAlign w:val="center"/>
          </w:tcPr>
          <w:p w14:paraId="2C5F96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421" w:type="dxa"/>
            <w:vMerge w:val="restart"/>
            <w:noWrap w:val="0"/>
            <w:vAlign w:val="center"/>
          </w:tcPr>
          <w:p w14:paraId="1EEE2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车载设备</w:t>
            </w:r>
          </w:p>
        </w:tc>
      </w:tr>
      <w:tr w14:paraId="4FC78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top"/>
          </w:tcPr>
          <w:p w14:paraId="72EC5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433" w:type="dxa"/>
            <w:noWrap w:val="0"/>
            <w:vAlign w:val="top"/>
          </w:tcPr>
          <w:p w14:paraId="4BBF1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车载十二导心电图机</w:t>
            </w:r>
          </w:p>
        </w:tc>
        <w:tc>
          <w:tcPr>
            <w:tcW w:w="960" w:type="dxa"/>
            <w:noWrap w:val="0"/>
            <w:vAlign w:val="top"/>
          </w:tcPr>
          <w:p w14:paraId="4E5E9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top"/>
          </w:tcPr>
          <w:p w14:paraId="24970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noWrap w:val="0"/>
            <w:vAlign w:val="center"/>
          </w:tcPr>
          <w:p w14:paraId="147414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421" w:type="dxa"/>
            <w:vMerge w:val="continue"/>
            <w:noWrap w:val="0"/>
            <w:vAlign w:val="top"/>
          </w:tcPr>
          <w:p w14:paraId="47C3C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8DAB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top"/>
          </w:tcPr>
          <w:p w14:paraId="12FA4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433" w:type="dxa"/>
            <w:noWrap w:val="0"/>
            <w:vAlign w:val="top"/>
          </w:tcPr>
          <w:p w14:paraId="0C066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转运监护仪</w:t>
            </w:r>
          </w:p>
        </w:tc>
        <w:tc>
          <w:tcPr>
            <w:tcW w:w="960" w:type="dxa"/>
            <w:noWrap w:val="0"/>
            <w:vAlign w:val="top"/>
          </w:tcPr>
          <w:p w14:paraId="3AC830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top"/>
          </w:tcPr>
          <w:p w14:paraId="578DF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noWrap w:val="0"/>
            <w:vAlign w:val="center"/>
          </w:tcPr>
          <w:p w14:paraId="1341163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421" w:type="dxa"/>
            <w:vMerge w:val="continue"/>
            <w:noWrap w:val="0"/>
            <w:vAlign w:val="top"/>
          </w:tcPr>
          <w:p w14:paraId="75F7D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DAF1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top"/>
          </w:tcPr>
          <w:p w14:paraId="41452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433" w:type="dxa"/>
            <w:noWrap w:val="0"/>
            <w:vAlign w:val="top"/>
          </w:tcPr>
          <w:p w14:paraId="68DF8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除颤监护仪</w:t>
            </w:r>
          </w:p>
        </w:tc>
        <w:tc>
          <w:tcPr>
            <w:tcW w:w="960" w:type="dxa"/>
            <w:noWrap w:val="0"/>
            <w:vAlign w:val="top"/>
          </w:tcPr>
          <w:p w14:paraId="21E4C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top"/>
          </w:tcPr>
          <w:p w14:paraId="565F7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noWrap w:val="0"/>
            <w:vAlign w:val="center"/>
          </w:tcPr>
          <w:p w14:paraId="59F368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421" w:type="dxa"/>
            <w:vMerge w:val="continue"/>
            <w:noWrap w:val="0"/>
            <w:vAlign w:val="top"/>
          </w:tcPr>
          <w:p w14:paraId="56F2B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8D13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top"/>
          </w:tcPr>
          <w:p w14:paraId="13D70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433" w:type="dxa"/>
            <w:noWrap w:val="0"/>
            <w:vAlign w:val="top"/>
          </w:tcPr>
          <w:p w14:paraId="7D530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重复用可视喉镜</w:t>
            </w:r>
          </w:p>
        </w:tc>
        <w:tc>
          <w:tcPr>
            <w:tcW w:w="960" w:type="dxa"/>
            <w:noWrap w:val="0"/>
            <w:vAlign w:val="top"/>
          </w:tcPr>
          <w:p w14:paraId="3B88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top"/>
          </w:tcPr>
          <w:p w14:paraId="0F419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2038" w:type="dxa"/>
            <w:noWrap w:val="0"/>
            <w:vAlign w:val="center"/>
          </w:tcPr>
          <w:p w14:paraId="131D0A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1.5</w:t>
            </w:r>
          </w:p>
        </w:tc>
        <w:tc>
          <w:tcPr>
            <w:tcW w:w="1421" w:type="dxa"/>
            <w:vMerge w:val="continue"/>
            <w:noWrap w:val="0"/>
            <w:vAlign w:val="top"/>
          </w:tcPr>
          <w:p w14:paraId="4BB3EB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AB7A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3" w:type="dxa"/>
            <w:noWrap w:val="0"/>
            <w:vAlign w:val="top"/>
          </w:tcPr>
          <w:p w14:paraId="16444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433" w:type="dxa"/>
            <w:noWrap w:val="0"/>
            <w:vAlign w:val="top"/>
          </w:tcPr>
          <w:p w14:paraId="36B56C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电动吸引器</w:t>
            </w:r>
          </w:p>
        </w:tc>
        <w:tc>
          <w:tcPr>
            <w:tcW w:w="960" w:type="dxa"/>
            <w:noWrap w:val="0"/>
            <w:vAlign w:val="top"/>
          </w:tcPr>
          <w:p w14:paraId="3AAE2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07" w:type="dxa"/>
            <w:noWrap w:val="0"/>
            <w:vAlign w:val="top"/>
          </w:tcPr>
          <w:p w14:paraId="7BA6E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2038" w:type="dxa"/>
            <w:noWrap w:val="0"/>
            <w:vAlign w:val="center"/>
          </w:tcPr>
          <w:p w14:paraId="5C3D0F3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0.5</w:t>
            </w:r>
          </w:p>
        </w:tc>
        <w:tc>
          <w:tcPr>
            <w:tcW w:w="1421" w:type="dxa"/>
            <w:vMerge w:val="continue"/>
            <w:noWrap w:val="0"/>
            <w:vAlign w:val="top"/>
          </w:tcPr>
          <w:p w14:paraId="52AC4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4576B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3D81DA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四、技术参数：</w:t>
      </w:r>
    </w:p>
    <w:p w14:paraId="3CBD3C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▲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救护车</w:t>
      </w:r>
    </w:p>
    <w:p w14:paraId="0C1AE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（一）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整车基础配置：</w:t>
      </w:r>
    </w:p>
    <w:p w14:paraId="7A76D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1、基型车必须为客运底盘改装，非切割加高顶；</w:t>
      </w:r>
    </w:p>
    <w:p w14:paraId="60896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2、轴距：≥3300mm；</w:t>
      </w:r>
    </w:p>
    <w:p w14:paraId="02E5B3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●3、车体尺寸：长≤5350mm、宽≥2080mm、2490≤高≤2550mm；</w:t>
      </w:r>
    </w:p>
    <w:p w14:paraId="24882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4、抢救舱尺寸（长×宽×高）：≥2600×1750×1730mm；</w:t>
      </w:r>
    </w:p>
    <w:p w14:paraId="5616C8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●5、整车整备质量：≥2600kg；</w:t>
      </w:r>
    </w:p>
    <w:p w14:paraId="4915C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6、发动机：直列、四缸、增压；</w:t>
      </w:r>
    </w:p>
    <w:p w14:paraId="32168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7、燃油种类：柴油；</w:t>
      </w:r>
    </w:p>
    <w:p w14:paraId="49797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8、排气量：≥1998mL；</w:t>
      </w:r>
    </w:p>
    <w:p w14:paraId="6B9B3E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9、排放标准：尾气排放必须符合国Ⅵ标准；</w:t>
      </w:r>
    </w:p>
    <w:p w14:paraId="01F7F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10、变速器：五速手动；</w:t>
      </w:r>
    </w:p>
    <w:p w14:paraId="227B85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11、最高时速：≥150km/h；</w:t>
      </w:r>
    </w:p>
    <w:p w14:paraId="20B54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12、轮胎：≥215/75R16LT；</w:t>
      </w:r>
    </w:p>
    <w:p w14:paraId="36A84C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13、油箱容积：≥80L；</w:t>
      </w:r>
    </w:p>
    <w:p w14:paraId="2D517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14、驱动方式：前置前驱；</w:t>
      </w:r>
    </w:p>
    <w:p w14:paraId="39490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整车标准配置：</w:t>
      </w:r>
    </w:p>
    <w:p w14:paraId="1C546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1、中控锁，遥控钥匙；</w:t>
      </w:r>
    </w:p>
    <w:p w14:paraId="3765B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●2、医疗仓后双开门，右侧大开度侧拉门，右侧拉门处上车踏板，上车踏板必须为底盘厂家原厂件；</w:t>
      </w:r>
    </w:p>
    <w:p w14:paraId="534464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3、驾驶员安全气囊, 驾驶员安全带未系提醒，司机椅六向调节，副驾驶双人座椅；</w:t>
      </w:r>
    </w:p>
    <w:p w14:paraId="3DEDDF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4、ESP（ABS+EBD）；</w:t>
      </w:r>
    </w:p>
    <w:p w14:paraId="2C5B2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5、前排电动窗；</w:t>
      </w:r>
    </w:p>
    <w:p w14:paraId="7B1656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6、悬架系统(前/后)：麦弗逊式独立前悬/钢板弹簧非独立悬挂；</w:t>
      </w:r>
    </w:p>
    <w:p w14:paraId="08979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7、液压助力转向，前后盘式制动；</w:t>
      </w:r>
    </w:p>
    <w:p w14:paraId="0DB6A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8、LED前大灯+LED后尾灯+自动大灯，自动雨刷；</w:t>
      </w:r>
    </w:p>
    <w:p w14:paraId="1AA9F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9、多功能方向盘，定速巡航；</w:t>
      </w:r>
    </w:p>
    <w:p w14:paraId="15686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10、≥8英寸中控屏，一体化GPS导航及影音、倒车雷达，倒车影像系统；</w:t>
      </w:r>
    </w:p>
    <w:p w14:paraId="3065B4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11、前挡风大尺寸风雨刮；</w:t>
      </w:r>
    </w:p>
    <w:p w14:paraId="0AF04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12、座位≥7座；</w:t>
      </w:r>
    </w:p>
    <w:p w14:paraId="39EA1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●13、医疗舱整车玻璃为底盘原厂玻璃，右侧拉门玻璃及推拉窗为底盘车原厂件；</w:t>
      </w:r>
    </w:p>
    <w:p w14:paraId="284007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14、整车玻璃贴膜颜色按业主需求定制；</w:t>
      </w:r>
    </w:p>
    <w:p w14:paraId="0888D1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警灯警报系统：</w:t>
      </w:r>
    </w:p>
    <w:p w14:paraId="060F7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1、驾驶室安装警报；</w:t>
      </w:r>
    </w:p>
    <w:p w14:paraId="2C3D0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2、警灯控制按钮；</w:t>
      </w:r>
    </w:p>
    <w:p w14:paraId="01F00D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3、100W警报器；</w:t>
      </w:r>
    </w:p>
    <w:p w14:paraId="717F3D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●4、车顶前部安装整体式异型警灯，左右各3块（总计6块）独立灯罩，内含LED发光源，中间贴放急救标识；</w:t>
      </w:r>
    </w:p>
    <w:p w14:paraId="480041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●5、车辆尾部两个与高位制动灯平齐的流线型异型警灯；</w:t>
      </w:r>
    </w:p>
    <w:p w14:paraId="4739D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6、左右两侧各2个LED爆闪灯（1蓝1白）； </w:t>
      </w:r>
    </w:p>
    <w:p w14:paraId="18AE1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中央电源分配系统：</w:t>
      </w:r>
    </w:p>
    <w:p w14:paraId="6B35CD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1、医疗舱总电源开关，集成在车辆点火开关上，点火开关ON档，医疗舱通电，点火开关OFF档，医疗舱断电；</w:t>
      </w:r>
    </w:p>
    <w:p w14:paraId="160A4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2、安装紧急启动控制装置，当主电瓶在低于12V无法正常启动时，可通过此装置完成车辆启动；</w:t>
      </w:r>
    </w:p>
    <w:p w14:paraId="2F6ED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3、智能充电控制装置：确保主电瓶的正常充电；发电机过载保护系统，延长发电机寿命；辅助电瓶独立工作，避免消耗主电瓶电能；</w:t>
      </w:r>
    </w:p>
    <w:p w14:paraId="4359A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●4、救护车三重电源管理装置：静态电流测试平均值不超过7.1ma，有效节约电池能源，多重保护功能，设有交流和直流输入高低压保护、过载保护、温度保护、输出短路等；</w:t>
      </w:r>
    </w:p>
    <w:p w14:paraId="55EC3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车内电源系统：</w:t>
      </w:r>
    </w:p>
    <w:p w14:paraId="0D5EF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1、1000W智能逆变电系统，高能免维护蓄电池，可提供220V和12V电源； </w:t>
      </w:r>
    </w:p>
    <w:p w14:paraId="0AFBF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2、医疗舱控制面板可操作照明灯、220V交流电压、换气系统、消毒灯、照明灯等设备；</w:t>
      </w:r>
    </w:p>
    <w:p w14:paraId="002E8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3、交流220V电源插座≥3套，≥2个USB插口；直流12V插座1套；</w:t>
      </w:r>
    </w:p>
    <w:p w14:paraId="41926F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4、附加的蓄电池(≥80AH)在车辆启动时会自动充电；</w:t>
      </w:r>
    </w:p>
    <w:p w14:paraId="313E36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医疗舱内饰：</w:t>
      </w:r>
    </w:p>
    <w:p w14:paraId="115EF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●1、医疗舱内饰采用吸塑工艺的高分子一次成型ABS材质，材料为PMMA+ASA+ABS三层复合；</w:t>
      </w:r>
    </w:p>
    <w:p w14:paraId="1852C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空调及照明系统：</w:t>
      </w:r>
    </w:p>
    <w:p w14:paraId="58686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1、驾驶室原车空调；</w:t>
      </w:r>
    </w:p>
    <w:p w14:paraId="2BB0E5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●2、医疗舱装有底盘车原厂空调、独立暖风；（冷暖空调调节系统满足WS/T 292-2008中华人民共和国卫生行业标准。在环境温度40℃的情况下，10min医疗舱温度达到26℃。在环境温度-20℃情况下，启动加热系统15min医疗舱温度达到22℃； </w:t>
      </w:r>
    </w:p>
    <w:p w14:paraId="62B88D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3、医疗舱顶部安装新型正/反向换气系统；</w:t>
      </w:r>
    </w:p>
    <w:p w14:paraId="3654F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4、镶嵌式紫外线延时消毒灯（停车熄火后，按下灭菌的电源开关，灭菌灯将在延时 60s后工作，30min后自动关闭）；</w:t>
      </w:r>
    </w:p>
    <w:p w14:paraId="65250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●5、医疗舱顶部嵌入式长条LED灯≥1个，上方嵌入式射灯≥7个（其中一个为中门控制，≥2个射灯可调节角度），所有照明系统亮度≥3档可调；</w:t>
      </w:r>
    </w:p>
    <w:p w14:paraId="6A748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八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医疗舱内装置：</w:t>
      </w:r>
    </w:p>
    <w:p w14:paraId="073811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1、驾驶室与医疗舱安装分隔墙，分隔墙上安装推拉窗，窗户透明；</w:t>
      </w:r>
    </w:p>
    <w:p w14:paraId="13A2B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2、医疗器械柜及整体吊柜均由全吸塑ABS材质内饰一次成型，医疗舱左侧整体式器械柜，医疗舱左上方为整体吊柜；</w:t>
      </w:r>
    </w:p>
    <w:p w14:paraId="3BF82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3、医疗舱右侧安装一个向前布局的单人座椅，2人座长排座椅（配有安全带），长排座椅上方安装软包靠背；</w:t>
      </w:r>
    </w:p>
    <w:p w14:paraId="0705B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4、医疗舱中隔墙处安装一个向后布局的单人座椅，带安全带；</w:t>
      </w:r>
    </w:p>
    <w:p w14:paraId="05A7A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5、医疗仓地板选用医用级环保地板，防滑，易清洁消毒；</w:t>
      </w:r>
    </w:p>
    <w:p w14:paraId="29ED7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●6、地板具备无甲醛、苯、表面耐磨、抗菌（大肠杆菌抑制率≥99.998%、金黄色葡萄球菌抑制率≥99.84%）、阻燃、防水、防腐、耐化学性、耐光照、耐低温、耐冲击性能。；</w:t>
      </w:r>
    </w:p>
    <w:p w14:paraId="6BAEB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●7、提供地板车内总挥发性有机化合物(TVOC)含量检测报告，要求有害物质含量≤50μgC/g；</w:t>
      </w:r>
    </w:p>
    <w:p w14:paraId="75814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8、医疗舱左后侧安装中央供氧系统：10升氧气瓶2个，德标氧气终端1个，刻度式流量湿化瓶2个、呼吸机接头1个、医疗舱隐藏式输液挂钩2套；</w:t>
      </w:r>
    </w:p>
    <w:p w14:paraId="040770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9、医疗舱中隔墙处安装与驾驶室前后对讲系统；</w:t>
      </w:r>
    </w:p>
    <w:p w14:paraId="66318E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●10、医疗舱内左/右侧窗户，不允许封闭，可见原车窗户玻璃；</w:t>
      </w:r>
    </w:p>
    <w:p w14:paraId="32A02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11、车顶安装双向安全扶手，长排座椅尾部安装全方位安全扶手；</w:t>
      </w:r>
    </w:p>
    <w:p w14:paraId="2ECE64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12、医疗舱配置出诊箱1只、药品箱1只、垃圾桶1个；</w:t>
      </w:r>
    </w:p>
    <w:p w14:paraId="59264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13、灭火器及支撑架 1套；</w:t>
      </w:r>
    </w:p>
    <w:p w14:paraId="5491F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14、车辆外观：救护车标识，字样按采购单位要求制作；</w:t>
      </w:r>
    </w:p>
    <w:p w14:paraId="36988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15、医疗舱安装内嵌式医用电子时钟（无需更换电池）；</w:t>
      </w:r>
    </w:p>
    <w:p w14:paraId="0492FE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九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担架系统：</w:t>
      </w:r>
    </w:p>
    <w:p w14:paraId="5DD7E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1、长*宽*高 ：≥1950*550*900mm（展开尺寸），≥1950*550*250mm（折叠尺寸）；</w:t>
      </w:r>
    </w:p>
    <w:p w14:paraId="79F1B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2、自重：≤40Kg；</w:t>
      </w:r>
    </w:p>
    <w:p w14:paraId="07297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3、承重：≥180Kg；</w:t>
      </w:r>
    </w:p>
    <w:p w14:paraId="0ACD3E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●4、主体框架用高强度钢铝合金材质，表面处理采用急救荧光绿色，保证在夜间使用；</w:t>
      </w:r>
    </w:p>
    <w:p w14:paraId="3D4C1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●5、担架采用轻盈联动装置设计，不需要任何控制把手就能自动上下车。异形管高强度材料设计，仅需一人便轻松完成上车过程；</w:t>
      </w:r>
    </w:p>
    <w:p w14:paraId="4454B4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●6、担架床板、背板采用一次模压成型的材料，避免骨折病人在转运过程中的二次伤害；需要时，可以直接在担架上进行心肺复苏。护栏采用高强度铝一次模成型工艺生产；</w:t>
      </w:r>
    </w:p>
    <w:p w14:paraId="75E74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●7、可根据不同病情要求调整病员体位，多种模式可调；头部靠背角度可无极调，最大角度为≥75°，腿部角度可调为≥10°；</w:t>
      </w:r>
    </w:p>
    <w:p w14:paraId="518CA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8、担架行走轮采用耐磨静音轮胎技术；并带有反向定位刹车功能，提高担架在各种状态下的稳定及舒适性，操控性强。前轮直径为150mm,后轮直径为125mm；</w:t>
      </w:r>
    </w:p>
    <w:p w14:paraId="0F046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9、床垫为防水易清洗，具有防火测试；</w:t>
      </w:r>
    </w:p>
    <w:p w14:paraId="63595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10、安全绑带形式为插口式固定，安全牢靠；</w:t>
      </w:r>
    </w:p>
    <w:p w14:paraId="021E4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12、担架可以兼容不同型号救护车底盘车型，担架上车高度为可多档调节；</w:t>
      </w:r>
    </w:p>
    <w:p w14:paraId="65D2F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13、担架前后腿部带有自锁装置，在转移时，防止担架被误触碰，保护病人安全；</w:t>
      </w:r>
    </w:p>
    <w:p w14:paraId="1F848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14、标配铝合金铲式担架一套，软式担架一套，上楼担架椅一套；</w:t>
      </w:r>
    </w:p>
    <w:p w14:paraId="6DD0C5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</w:p>
    <w:p w14:paraId="16580C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转运呼吸机</w:t>
      </w:r>
    </w:p>
    <w:p w14:paraId="6D2F8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一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整机与显示要求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 w14:paraId="11B15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适用于成人、小儿和婴幼儿患者通气辅助及呼吸支持。</w:t>
      </w:r>
    </w:p>
    <w:p w14:paraId="2BF42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整机为电动电控设计，涡轮驱动产生空气气源。</w:t>
      </w:r>
    </w:p>
    <w:p w14:paraId="34824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电池续航时间：标配一块电池续航≥5小时。</w:t>
      </w:r>
    </w:p>
    <w:p w14:paraId="515CF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呼吸机主机重量≤4.5kg。</w:t>
      </w:r>
    </w:p>
    <w:p w14:paraId="49773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吸气峰值流速≥210L/min。</w:t>
      </w:r>
    </w:p>
    <w:p w14:paraId="68F09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标配提拿悬挂一体化多功能把手。</w:t>
      </w:r>
    </w:p>
    <w:p w14:paraId="0FFD14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具备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无消耗氧传感器，无需校准和更换。</w:t>
      </w:r>
    </w:p>
    <w:p w14:paraId="6F056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标配主流CO2监测模块和附件。</w:t>
      </w:r>
    </w:p>
    <w:p w14:paraId="20D9B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标配高压氧气气源和低压氧气气源两种方式。</w:t>
      </w:r>
    </w:p>
    <w:p w14:paraId="6709EF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具备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≥7英寸彩色电容触摸控制屏，可同时显示波形和监测参数。</w:t>
      </w:r>
    </w:p>
    <w:p w14:paraId="1EBDE7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具有屏幕亮度自动调节功能，根据环境光线强度自动调节屏幕亮度。</w:t>
      </w:r>
    </w:p>
    <w:p w14:paraId="630CE4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具有关机状态下电量显示功能，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随时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掌握机器剩余电量。</w:t>
      </w:r>
    </w:p>
    <w:p w14:paraId="1FDC9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支持显示≥100小时的全部监测参数趋势图、表分析，≥8000条报警和操作日志记录。</w:t>
      </w:r>
    </w:p>
    <w:p w14:paraId="1299A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具备截屏U盘导出功能，可缓存≥50张屏幕文件。</w:t>
      </w:r>
    </w:p>
    <w:p w14:paraId="337E8B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环境适应性要求</w:t>
      </w:r>
    </w:p>
    <w:p w14:paraId="4EE3C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防尘防水等级≥IP34，保证机器在复杂环境中的安全。</w:t>
      </w:r>
    </w:p>
    <w:p w14:paraId="009A3C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工作温度范围：-20～50 ℃，满足低温和高温环境下工作要求。</w:t>
      </w:r>
    </w:p>
    <w:p w14:paraId="748798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具有自动海拔补偿功能和自动漏气补偿功能。</w:t>
      </w:r>
    </w:p>
    <w:p w14:paraId="19D5A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呼吸模式及功能</w:t>
      </w:r>
    </w:p>
    <w:p w14:paraId="0B0A7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标配模式：控制/辅助通气模式A/C和同步间歇指令通气SIMV；持续气道正压通气模式/压力支持通气CPAP/PSV、双水平气道正压通气（如BIPAP或DuoLevel或BiLevel）、压力调节容量控制通气（如AUTOFLOW或PRVC等）、压力调节容量控制-同步间歇指令通气模式（PRVC-SIMV）、心肺复苏通气模式（如CPRV，CPRmode等）。</w:t>
      </w:r>
    </w:p>
    <w:p w14:paraId="2D299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高级模式：容量支持通气VS、气道压力释放通气APRV；自适应分钟通气（如AMV或ASV等以Otis公式患者最小呼吸做功为通气目标的智能通气模式）</w:t>
      </w:r>
    </w:p>
    <w:p w14:paraId="6F070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具备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无创通气模式和氧疗模式。</w:t>
      </w:r>
    </w:p>
    <w:p w14:paraId="76FF5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呼吸同步技术，自动调节吸气和呼气触发灵敏度、压力上升时间。</w:t>
      </w:r>
    </w:p>
    <w:p w14:paraId="29BA5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标配内源性PEEP、口腔闭合压P0.1和浅快呼吸指数RSBI的测定。</w:t>
      </w:r>
    </w:p>
    <w:p w14:paraId="36DEF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四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设置参数</w:t>
      </w:r>
    </w:p>
    <w:p w14:paraId="1B81B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潮气量：10ml～2000ml</w:t>
      </w:r>
    </w:p>
    <w:p w14:paraId="43295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吸气压力：1～60cmH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vertAlign w:val="subscript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O</w:t>
      </w:r>
    </w:p>
    <w:p w14:paraId="0BFD7A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呼气末正压：0～50cmH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vertAlign w:val="subscript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O</w:t>
      </w:r>
    </w:p>
    <w:p w14:paraId="4090A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吸入氧浓度：21～100%</w:t>
      </w:r>
    </w:p>
    <w:p w14:paraId="619CD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吸气时间：0.1～10s  </w:t>
      </w:r>
    </w:p>
    <w:p w14:paraId="037BD8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压力触发灵敏度：-20～ -0.5cmH2O，或 OFF  </w:t>
      </w:r>
    </w:p>
    <w:p w14:paraId="5F165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流速触发灵敏度：0.5～20L/ min，或 OFF  </w:t>
      </w:r>
    </w:p>
    <w:p w14:paraId="6921B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呼气触发灵敏度：Auto, 1～85%  </w:t>
      </w:r>
    </w:p>
    <w:p w14:paraId="6F69E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氧疗流量：2～80L/min</w:t>
      </w:r>
    </w:p>
    <w:p w14:paraId="55BA1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五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监测参数和报警</w:t>
      </w:r>
    </w:p>
    <w:p w14:paraId="500E2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监测参数：氧浓度、分钟通气量、潮气量、气道压力、呼吸频率等关键参数。</w:t>
      </w:r>
    </w:p>
    <w:p w14:paraId="1ACAE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波形监测：压力—时间、流速—时间、容量—时间和CO2—时间波形。</w:t>
      </w:r>
    </w:p>
    <w:p w14:paraId="5EFBB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报警：潮气量、通气量、压力、呼吸频率、窒息、氧浓度、氧气不足、电量不足、管路脱落、机器故障等。</w:t>
      </w:r>
    </w:p>
    <w:p w14:paraId="28DD1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3B8A5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5F94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车载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十二导心电图机</w:t>
      </w:r>
    </w:p>
    <w:p w14:paraId="35571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运行环境：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可在交流电源100V～240V，50/60Hz，室温5～40℃，相对湿度15%～95%环境下正常工作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B56D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内置可充电锂电池，连续工作时间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500 份自动报告，或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 小时连续记录，或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 小时无记录测量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386A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产品重量≤1.5kg（含电池和记录仪）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4EC26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厚度≤60mm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322A8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频率响应：0.01Hz～500Hz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4D3455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采样率：≥64kHz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2D6B08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起搏器采样率：≥96kHz</w:t>
      </w:r>
    </w:p>
    <w:p w14:paraId="2A202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输入阻抗：≥100MΩ（10Hz）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2B4D0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定标电压：1mV±1%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ADA7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耐极化电压：≥±900mV（±5%）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6BCF6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内部噪声：≤12.5µVp-p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17DA8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共模抑制比：≥140dB（AC滤波开启）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</w:t>
      </w:r>
    </w:p>
    <w:p w14:paraId="5F928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灵敏度选择：1.25、2.5、5、10、20、10/5、20/10、自动mm/mV ±5%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B4D93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除颤防护：承受5000V(360J) 除颤放电，无数据丢失和损坏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68285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≥10英寸彩色液晶屏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7EBD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内置存储器支持存储1200 份心电图报告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46766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支持外接U盘扩展存储空间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E20F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内置高分辨率热敏式点阵打印机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67931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走纸速度：5mm/s、12.5mm/s、25mm/s、50mm/s，误差不大于±5%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F7B4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打印分辨率：垂直分辨率≥8点/mm，水平分辨率≥32点/mm（25mm/s）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2A6F99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支持一维码/二维码条码扫描仪，可快速输入病人信息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3EFA0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具有关机延迟功能：自第一次低电量提示后，有至少5分钟的关机延迟时间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5AA20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外部接口：≥USB接口*2个，≥1个网络接口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486D9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、标配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无线WIFI模块，具有2.4G/5G双频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651E7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支持HL7/DICOM/FTP标准协议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C3501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D2DF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转运监护仪</w:t>
      </w:r>
    </w:p>
    <w:p w14:paraId="4FC14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整机结构：</w:t>
      </w:r>
    </w:p>
    <w:p w14:paraId="5717F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适用于成人、小儿、新生儿的监测。</w:t>
      </w:r>
    </w:p>
    <w:p w14:paraId="3B883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转运监护仪，满足救护车相关转运标准。</w:t>
      </w:r>
    </w:p>
    <w:p w14:paraId="7F5A7A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≥5英寸彩色触摸显示屏，重量&lt;1Kg，可抗1.2米6面跌落。</w:t>
      </w:r>
    </w:p>
    <w:p w14:paraId="39FB9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防尘防水至少为IP44等级。 </w:t>
      </w:r>
    </w:p>
    <w:p w14:paraId="3E2BC3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内置锂电池供电，支持≥5小时的持续监测。</w:t>
      </w:r>
    </w:p>
    <w:p w14:paraId="5D71D5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可选配便携插件箱，支持扩展1个参数插槽，满足插入更多参数模块的监测扩展。</w:t>
      </w:r>
    </w:p>
    <w:p w14:paraId="1A68C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可选配扩充基座，基座具备外接AC电源接口、有线网络接口、USB接口、VGA接口，可连接主监护仪、触摸屏、鼠标、键盘和条码扫描枪。</w:t>
      </w:r>
    </w:p>
    <w:p w14:paraId="748B5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参数监测：</w:t>
      </w:r>
    </w:p>
    <w:p w14:paraId="525E0F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支持3/5导心电，阻抗呼吸，血氧、无创血压、2通道体温监测。</w:t>
      </w:r>
    </w:p>
    <w:p w14:paraId="34C6E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转运监护仪支持插入床旁监护仪插槽作为参数模块使用，即插即用。</w:t>
      </w:r>
    </w:p>
    <w:p w14:paraId="4F9A60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具有多导心电监护算法 ，同步分析至少2通道心电波形，能够良好抗干扰。</w:t>
      </w:r>
    </w:p>
    <w:p w14:paraId="5243F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波速提供50mm/s，25 mm/s、12.5 mm/s、6.25 mm/s可选。</w:t>
      </w:r>
    </w:p>
    <w:p w14:paraId="41E51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滤波模式提供诊断模式，监护模式，ST模式，手术模式。</w:t>
      </w:r>
    </w:p>
    <w:p w14:paraId="39F532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提供≥25种心律失常事件的分析。  </w:t>
      </w:r>
    </w:p>
    <w:p w14:paraId="6F778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提供ST段分析，可显示和存储ST值和每个ST的模板。并且有QT/QTc测量功能，提供QT，QTc和ΔQTc参数值。  </w:t>
      </w:r>
    </w:p>
    <w:p w14:paraId="6787AC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可显示弱灌注指数（PI）。</w:t>
      </w:r>
    </w:p>
    <w:p w14:paraId="0FFCF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提供双通道体温测量，支持两通道体温测量差值显示。</w:t>
      </w:r>
    </w:p>
    <w:p w14:paraId="0AA5B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提供手动、自动间隔、连续、序列四种无创血压测量模式。</w:t>
      </w:r>
    </w:p>
    <w:p w14:paraId="304F1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无创血压测量范围，成人收缩压：25～290mmHg， 舒张压：10～250mmHg，平均压：15～260mmHg；小儿收缩压：25～240mmHg， 舒张压：10～200mmHg，平均压：15～215mmHg；新生儿收缩压：25～140mmHg， 舒张压：10～115mmHg，平均压：15～125mmHg</w:t>
      </w:r>
    </w:p>
    <w:p w14:paraId="71E1C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≥1000条事件回顾。每条报警事件至少能够存储32秒三道相关波形，以及报警触发时所有测量参数值。</w:t>
      </w:r>
    </w:p>
    <w:p w14:paraId="1E37B3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具有多导心电监护算法 ，同步分析≥6通道心电波形。</w:t>
      </w:r>
    </w:p>
    <w:p w14:paraId="33CF3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1B14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除颤监护仪</w:t>
      </w:r>
    </w:p>
    <w:p w14:paraId="079F9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CCCC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重量：≤6.5kg，含电池、体外板和心电导联线。</w:t>
      </w:r>
    </w:p>
    <w:p w14:paraId="5BC20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≥7英寸彩色显示屏,可显示≥3通道监护参数波形，有高对比度显示界面。</w:t>
      </w:r>
    </w:p>
    <w:p w14:paraId="581909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屏幕显示心电波形扫描时间≥16s。</w:t>
      </w:r>
    </w:p>
    <w:p w14:paraId="77E38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具备手动除颤、心电监护、呼吸监护、自动体外除颤（AED，标配）功能，AED功能适用于年龄大于29天人群。</w:t>
      </w:r>
    </w:p>
    <w:p w14:paraId="1D48F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除颤采用双相波技术，具备自动阻抗补偿功能。手动除颤分为同步和非同步两种方式，能量分20档以上，可通过体外电极板进行能量选择，最大能量可达360J。</w:t>
      </w:r>
    </w:p>
    <w:p w14:paraId="7B6627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支持至少三种尺寸体内除颤电极板，适用不同病人类型。</w:t>
      </w:r>
    </w:p>
    <w:p w14:paraId="3689D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体外除颤电极板同时支持成人和小儿。</w:t>
      </w:r>
    </w:p>
    <w:p w14:paraId="4F8D0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AED除颤功能对于抢救过程支持自动录音功能，记录时长≥60min。</w:t>
      </w:r>
    </w:p>
    <w:p w14:paraId="765C6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开机时间≤2s。</w:t>
      </w:r>
    </w:p>
    <w:p w14:paraId="2A256F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除颤充电迅速，充电至200J≤4s。</w:t>
      </w:r>
    </w:p>
    <w:p w14:paraId="1878A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支持病人接触状态和阻抗值实时显示。</w:t>
      </w:r>
    </w:p>
    <w:p w14:paraId="15F3B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通过心电电极片可监测的心律失常分析种类≥24种。</w:t>
      </w:r>
    </w:p>
    <w:p w14:paraId="748FE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无创血压收缩压测量范围：25-290mmHg（成人）、25-240mmHg（小儿）、25-140mmHg（新生儿），舒张压测量范围：10-250mmHg（成人）、10-200mmHg（小儿），10-115mmHg（新生儿）。</w:t>
      </w:r>
    </w:p>
    <w:p w14:paraId="4CA93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14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具备200J除颤≥300次。</w:t>
      </w:r>
    </w:p>
    <w:p w14:paraId="70BB3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配置50mm记录纸记录仪，自动打印除颤记录，单次波形记录时间最大不小于30s；支持连续波形记录。可存储至少10小时连续ECG波形，数据可导出至电脑查看。</w:t>
      </w:r>
    </w:p>
    <w:p w14:paraId="13F00F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关机状态下设备具备监护模块和治疗模块每天定时自动运行自检，具备定期自动最大放电能量自检，设备自检具备对于自检报告进行自动打印或按需打印。</w:t>
      </w:r>
    </w:p>
    <w:p w14:paraId="54D7A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具备良好的防尘防水性能，防尘防水级别≥IP44。</w:t>
      </w:r>
    </w:p>
    <w:p w14:paraId="58F35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18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具备优异的抗跌落性能，裸机可承受6面0.75m跌落冲击。</w:t>
      </w:r>
    </w:p>
    <w:p w14:paraId="59C7C7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3AF9D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重复用可视喉镜</w:t>
      </w:r>
    </w:p>
    <w:p w14:paraId="17CE6D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★1、显示屏：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3.5英寸显示屏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8B1E6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★2、摄像头：分辨率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1600*1200，空间分辨率：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6.35Lp/mm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5DC7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3、电池：锂离子电池，容量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3000mAh，电压3.7V，持续工作时间≥200min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7A5E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4、电源：USB接口,充电器输入100～240V,充电器输出5V/1A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6701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5、工作环境：温度5℃～+40℃，湿度20%～80%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12F32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6、整机重量：≤350g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F8D48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7、 工作距离：30～90mm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3378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8、光源：色温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2300K；照度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400lx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E435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9、显示器旋转角度：前后旋转角度范围≧140°，左右旋转角度范围≧180°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02409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10、防雾功能：无需预热，开机即可防雾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31F6D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11、拍照摄像：一键快速拍照，可连续摄像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2F9A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12、报警功能：电池电量低、电池耗尽、叶片未连接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2FDA46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13、手柄：人体工程学设计，舒适、抑菌、便携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40616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★14、镜片为316医用不锈钢材质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1A9CF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★15、镜片≥IPX8防水等级测试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4B42F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★16、重复使用镜片有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8种规格可选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10E6E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17、存储：内置≥8G存储记忆卡，记录在教学和插管过程中的所有操作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5B986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18、产品通过FDA认证和CE认证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  <w:bookmarkStart w:id="2" w:name="_GoBack"/>
      <w:bookmarkEnd w:id="2"/>
    </w:p>
    <w:p w14:paraId="74AAF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19、配置要求：喉镜主机1台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所有规格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喉镜片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各1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个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充电器1个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数据线1条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CDEF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9C04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电动吸引器</w:t>
      </w:r>
    </w:p>
    <w:p w14:paraId="31FA0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1、极限负压值：≥0.08MPa(600mmHg)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2FD37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2、负压调节范围：0.02MPa(150mmHg)～极限负压值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71F35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3、抽气速率：≥20 L/min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45A0AB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4、噪声：≤65 dB(A)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14D9C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5、贮液瓶：1000mL（PC 塑料）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05467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7、输入功率：110VA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。</w:t>
      </w:r>
    </w:p>
    <w:p w14:paraId="3BAAA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</w:p>
    <w:p w14:paraId="2C74E13E">
      <w:pPr>
        <w:spacing w:line="360" w:lineRule="auto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注：1.采购需求中所有的评分项要求提供的如下证明材料其中之一（包括但不限于医疗器械注册证、医疗器械注册登记表、第三方检测报告、产品使用说明书、产品彩页、技术白皮书）；</w:t>
      </w:r>
    </w:p>
    <w:p w14:paraId="299999E9">
      <w:pPr>
        <w:spacing w:line="360" w:lineRule="auto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2.供货过程中和到货后，采购人或其委托的第三方检测机构有权对所供货物按招标文件要求、投标文件承诺、合同明确的等要求进行质量检测，以此作为判定合同货物质量是否合格的依据。如质量检测不合格，采购人或其委托的第三方检测机构有权拒收货物，中标人须承担应有损失、相关责任等（包含但不限于：货物往来运输、合同终止、相关法律责任等）；</w:t>
      </w:r>
    </w:p>
    <w:p w14:paraId="4C8BD2B0">
      <w:pPr>
        <w:spacing w:after="0" w:line="36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3.所投标设备如存在数据接口，接口须全部免费开放，与采购人的信息系统兼容，接口费由中标人承担。（报价时须考虑此项费用）；</w:t>
      </w:r>
    </w:p>
    <w:p w14:paraId="7109EE6F">
      <w:pPr>
        <w:spacing w:after="0" w:line="360" w:lineRule="auto"/>
        <w:ind w:firstLine="562" w:firstLineChars="200"/>
        <w:rPr>
          <w:rFonts w:hint="eastAsia" w:ascii="宋体" w:hAnsi="宋体" w:eastAsia="宋体" w:cs="仿宋_GB2312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4.中标人的投标报价包含上述所有货物及服务内容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6AEBE140">
      <w:pPr>
        <w:pStyle w:val="3"/>
        <w:adjustRightInd w:val="0"/>
        <w:spacing w:before="120" w:beforeLines="50" w:after="120" w:afterLines="50" w:line="560" w:lineRule="exact"/>
        <w:ind w:firstLine="0" w:firstLineChars="0"/>
        <w:jc w:val="center"/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</w:pPr>
    </w:p>
    <w:bookmarkEnd w:id="1"/>
    <w:p w14:paraId="7D60BCF5">
      <w:pPr>
        <w:tabs>
          <w:tab w:val="left" w:pos="4620"/>
        </w:tabs>
        <w:snapToGrid w:val="0"/>
        <w:spacing w:line="240" w:lineRule="auto"/>
        <w:ind w:firstLine="480" w:firstLineChars="200"/>
        <w:rPr>
          <w:rFonts w:hint="eastAsia" w:ascii="宋体" w:hAnsi="宋体" w:eastAsia="宋体" w:cs="Times New Roman"/>
          <w:b w:val="0"/>
          <w:bCs/>
          <w:color w:val="auto"/>
          <w:sz w:val="24"/>
          <w:szCs w:val="28"/>
          <w:highlight w:val="none"/>
        </w:rPr>
      </w:pPr>
    </w:p>
    <w:sectPr>
      <w:headerReference r:id="rId3" w:type="default"/>
      <w:footerReference r:id="rId4" w:type="default"/>
      <w:pgSz w:w="11907" w:h="16840"/>
      <w:pgMar w:top="1440" w:right="1247" w:bottom="1440" w:left="1247" w:header="851" w:footer="992" w:gutter="0"/>
      <w:cols w:space="720" w:num="1"/>
      <w:docGrid w:linePitch="30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5127656D-30B6-40B8-9668-B485CCF6C3A8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DotumChe">
    <w:panose1 w:val="020B0609000101010101"/>
    <w:charset w:val="81"/>
    <w:family w:val="modern"/>
    <w:pitch w:val="default"/>
    <w:sig w:usb0="B00002AF" w:usb1="69D77CFB" w:usb2="00000030" w:usb3="00000000" w:csb0="4008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B0609000101010101"/>
    <w:charset w:val="81"/>
    <w:family w:val="auto"/>
    <w:pitch w:val="default"/>
    <w:sig w:usb0="B00002AF" w:usb1="69D77CFB" w:usb2="00000030" w:usb3="00000000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2FC9CE">
    <w:pPr>
      <w:pStyle w:val="25"/>
      <w:ind w:right="-21" w:firstLine="54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716B44">
    <w:pPr>
      <w:pStyle w:val="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74"/>
      <w:lvlText w:val="%1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1">
    <w:nsid w:val="2E4F3A11"/>
    <w:multiLevelType w:val="multilevel"/>
    <w:tmpl w:val="2E4F3A11"/>
    <w:lvl w:ilvl="0" w:tentative="0">
      <w:start w:val="1"/>
      <w:numFmt w:val="decimal"/>
      <w:pStyle w:val="88"/>
      <w:lvlText w:val="%1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黑体" w:cs="Times New Roman"/>
        <w:b w:val="0"/>
        <w:i w:val="0"/>
        <w:sz w:val="28"/>
        <w:szCs w:val="28"/>
      </w:rPr>
    </w:lvl>
    <w:lvl w:ilvl="1" w:tentative="0">
      <w:start w:val="1"/>
      <w:numFmt w:val="decimal"/>
      <w:pStyle w:val="70"/>
      <w:lvlText w:val="%1.%2"/>
      <w:lvlJc w:val="left"/>
      <w:pPr>
        <w:tabs>
          <w:tab w:val="left" w:pos="992"/>
        </w:tabs>
        <w:ind w:left="992" w:hanging="567"/>
      </w:pPr>
      <w:rPr>
        <w:rFonts w:hint="default" w:ascii="Arial" w:hAnsi="Arial" w:eastAsia="黑体" w:cs="Times New Roman"/>
        <w:b w:val="0"/>
        <w:i w:val="0"/>
        <w:sz w:val="24"/>
        <w:szCs w:val="24"/>
      </w:rPr>
    </w:lvl>
    <w:lvl w:ilvl="2" w:tentative="0">
      <w:start w:val="1"/>
      <w:numFmt w:val="decimal"/>
      <w:pStyle w:val="89"/>
      <w:lvlText w:val="%1.%2.%3"/>
      <w:lvlJc w:val="left"/>
      <w:pPr>
        <w:tabs>
          <w:tab w:val="left" w:pos="1418"/>
        </w:tabs>
        <w:ind w:left="1418" w:hanging="567"/>
      </w:p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</w:lvl>
  </w:abstractNum>
  <w:abstractNum w:abstractNumId="2">
    <w:nsid w:val="48716ABE"/>
    <w:multiLevelType w:val="multilevel"/>
    <w:tmpl w:val="48716ABE"/>
    <w:lvl w:ilvl="0" w:tentative="0">
      <w:start w:val="1"/>
      <w:numFmt w:val="decimal"/>
      <w:lvlText w:val="%1"/>
      <w:lvlJc w:val="left"/>
      <w:pPr>
        <w:tabs>
          <w:tab w:val="left" w:pos="2502"/>
        </w:tabs>
        <w:ind w:left="2502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2646"/>
        </w:tabs>
        <w:ind w:left="2646" w:hanging="576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2790"/>
        </w:tabs>
        <w:ind w:left="2790" w:hanging="720"/>
      </w:pPr>
      <w:rPr>
        <w:rFonts w:hint="default"/>
      </w:rPr>
    </w:lvl>
    <w:lvl w:ilvl="3" w:tentative="0">
      <w:start w:val="1"/>
      <w:numFmt w:val="decimal"/>
      <w:pStyle w:val="72"/>
      <w:lvlText w:val="%1.%2.%3.%4"/>
      <w:lvlJc w:val="left"/>
      <w:pPr>
        <w:tabs>
          <w:tab w:val="left" w:pos="2934"/>
        </w:tabs>
        <w:ind w:left="2934" w:hanging="864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3078"/>
        </w:tabs>
        <w:ind w:left="307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22"/>
        </w:tabs>
        <w:ind w:left="3222" w:hanging="1152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3366"/>
        </w:tabs>
        <w:ind w:left="3366" w:hanging="1296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3510"/>
        </w:tabs>
        <w:ind w:left="351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3654"/>
        </w:tabs>
        <w:ind w:left="3654" w:hanging="1584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zNGUxYzc2MTBlMzRlNDhmMjM4OTg3NGJjMjk1YTEifQ=="/>
  </w:docVars>
  <w:rsids>
    <w:rsidRoot w:val="008B57E3"/>
    <w:rsid w:val="00000AE7"/>
    <w:rsid w:val="000013B2"/>
    <w:rsid w:val="00002701"/>
    <w:rsid w:val="00005D35"/>
    <w:rsid w:val="000064A5"/>
    <w:rsid w:val="00023234"/>
    <w:rsid w:val="00023458"/>
    <w:rsid w:val="00025252"/>
    <w:rsid w:val="00025C6C"/>
    <w:rsid w:val="000305C3"/>
    <w:rsid w:val="00030E8B"/>
    <w:rsid w:val="0003201D"/>
    <w:rsid w:val="00035BA8"/>
    <w:rsid w:val="00036B54"/>
    <w:rsid w:val="0004164A"/>
    <w:rsid w:val="0005255F"/>
    <w:rsid w:val="000546CA"/>
    <w:rsid w:val="000568C5"/>
    <w:rsid w:val="000574FF"/>
    <w:rsid w:val="00061038"/>
    <w:rsid w:val="00077A58"/>
    <w:rsid w:val="00077A8D"/>
    <w:rsid w:val="00083A90"/>
    <w:rsid w:val="00086D51"/>
    <w:rsid w:val="0009194A"/>
    <w:rsid w:val="000936C0"/>
    <w:rsid w:val="000945BC"/>
    <w:rsid w:val="00095AB7"/>
    <w:rsid w:val="0009702F"/>
    <w:rsid w:val="00097960"/>
    <w:rsid w:val="00097A67"/>
    <w:rsid w:val="000A0E74"/>
    <w:rsid w:val="000A5C7E"/>
    <w:rsid w:val="000A6A2E"/>
    <w:rsid w:val="000B1CAC"/>
    <w:rsid w:val="000C6640"/>
    <w:rsid w:val="000D07F1"/>
    <w:rsid w:val="000D0C31"/>
    <w:rsid w:val="000D4D0D"/>
    <w:rsid w:val="000D5AF1"/>
    <w:rsid w:val="000D7585"/>
    <w:rsid w:val="000E0858"/>
    <w:rsid w:val="000E0B1E"/>
    <w:rsid w:val="000E1FFA"/>
    <w:rsid w:val="000F351F"/>
    <w:rsid w:val="000F6021"/>
    <w:rsid w:val="00104F65"/>
    <w:rsid w:val="001050F6"/>
    <w:rsid w:val="00106E9A"/>
    <w:rsid w:val="00110968"/>
    <w:rsid w:val="00122708"/>
    <w:rsid w:val="001229E7"/>
    <w:rsid w:val="0013120B"/>
    <w:rsid w:val="00134B32"/>
    <w:rsid w:val="001377B5"/>
    <w:rsid w:val="00142509"/>
    <w:rsid w:val="00150902"/>
    <w:rsid w:val="00156F4A"/>
    <w:rsid w:val="0015735B"/>
    <w:rsid w:val="001607B1"/>
    <w:rsid w:val="00161CAF"/>
    <w:rsid w:val="0016650B"/>
    <w:rsid w:val="00172B82"/>
    <w:rsid w:val="00177869"/>
    <w:rsid w:val="00177BF6"/>
    <w:rsid w:val="00177C92"/>
    <w:rsid w:val="001A11D2"/>
    <w:rsid w:val="001A553F"/>
    <w:rsid w:val="001A682D"/>
    <w:rsid w:val="001B39CA"/>
    <w:rsid w:val="001C3385"/>
    <w:rsid w:val="001C439E"/>
    <w:rsid w:val="001D31DA"/>
    <w:rsid w:val="001D7451"/>
    <w:rsid w:val="001E0912"/>
    <w:rsid w:val="001E27B6"/>
    <w:rsid w:val="001E4214"/>
    <w:rsid w:val="001F1083"/>
    <w:rsid w:val="001F24DC"/>
    <w:rsid w:val="001F5208"/>
    <w:rsid w:val="00212BB5"/>
    <w:rsid w:val="00215698"/>
    <w:rsid w:val="002217CD"/>
    <w:rsid w:val="002308CF"/>
    <w:rsid w:val="0023398A"/>
    <w:rsid w:val="00234C60"/>
    <w:rsid w:val="00236DA5"/>
    <w:rsid w:val="00237396"/>
    <w:rsid w:val="00237839"/>
    <w:rsid w:val="002405FC"/>
    <w:rsid w:val="0024629A"/>
    <w:rsid w:val="00262AD2"/>
    <w:rsid w:val="002631C5"/>
    <w:rsid w:val="002652E4"/>
    <w:rsid w:val="002704F9"/>
    <w:rsid w:val="00274DBE"/>
    <w:rsid w:val="002758BE"/>
    <w:rsid w:val="00276472"/>
    <w:rsid w:val="00277A24"/>
    <w:rsid w:val="002807C8"/>
    <w:rsid w:val="00281720"/>
    <w:rsid w:val="00281BFB"/>
    <w:rsid w:val="002827C9"/>
    <w:rsid w:val="0028284F"/>
    <w:rsid w:val="0028357E"/>
    <w:rsid w:val="00293206"/>
    <w:rsid w:val="00295F20"/>
    <w:rsid w:val="002A1ED6"/>
    <w:rsid w:val="002A650B"/>
    <w:rsid w:val="002B2D74"/>
    <w:rsid w:val="002B4B47"/>
    <w:rsid w:val="002B5CD6"/>
    <w:rsid w:val="002C01D0"/>
    <w:rsid w:val="002C035E"/>
    <w:rsid w:val="002C6920"/>
    <w:rsid w:val="002C764B"/>
    <w:rsid w:val="002D0BFC"/>
    <w:rsid w:val="002E04DB"/>
    <w:rsid w:val="002E144C"/>
    <w:rsid w:val="002E6CE9"/>
    <w:rsid w:val="002F02E4"/>
    <w:rsid w:val="002F0328"/>
    <w:rsid w:val="002F0AD2"/>
    <w:rsid w:val="002F2F2B"/>
    <w:rsid w:val="002F516E"/>
    <w:rsid w:val="0030066E"/>
    <w:rsid w:val="003014A7"/>
    <w:rsid w:val="00302535"/>
    <w:rsid w:val="00310693"/>
    <w:rsid w:val="003139D7"/>
    <w:rsid w:val="00323CA5"/>
    <w:rsid w:val="0032479B"/>
    <w:rsid w:val="00325501"/>
    <w:rsid w:val="00327CF4"/>
    <w:rsid w:val="00334A79"/>
    <w:rsid w:val="00335D43"/>
    <w:rsid w:val="0033789B"/>
    <w:rsid w:val="00341AE6"/>
    <w:rsid w:val="0035042F"/>
    <w:rsid w:val="00350D12"/>
    <w:rsid w:val="00363777"/>
    <w:rsid w:val="00363CE1"/>
    <w:rsid w:val="003716CB"/>
    <w:rsid w:val="00374B4E"/>
    <w:rsid w:val="00374BC6"/>
    <w:rsid w:val="00387C0F"/>
    <w:rsid w:val="00390207"/>
    <w:rsid w:val="00392038"/>
    <w:rsid w:val="00394CA5"/>
    <w:rsid w:val="00394D7A"/>
    <w:rsid w:val="003958CB"/>
    <w:rsid w:val="003A47A7"/>
    <w:rsid w:val="003C1656"/>
    <w:rsid w:val="003C75E1"/>
    <w:rsid w:val="003D0EBE"/>
    <w:rsid w:val="003D2134"/>
    <w:rsid w:val="003D46B9"/>
    <w:rsid w:val="003D6186"/>
    <w:rsid w:val="003E2C9F"/>
    <w:rsid w:val="003E34B3"/>
    <w:rsid w:val="003F4C66"/>
    <w:rsid w:val="003F6102"/>
    <w:rsid w:val="003F6125"/>
    <w:rsid w:val="003F6FC2"/>
    <w:rsid w:val="0040066A"/>
    <w:rsid w:val="0040779B"/>
    <w:rsid w:val="00412992"/>
    <w:rsid w:val="00415674"/>
    <w:rsid w:val="00415E79"/>
    <w:rsid w:val="00415F03"/>
    <w:rsid w:val="004256CD"/>
    <w:rsid w:val="004340D5"/>
    <w:rsid w:val="00436CCF"/>
    <w:rsid w:val="00442257"/>
    <w:rsid w:val="00451456"/>
    <w:rsid w:val="00451D40"/>
    <w:rsid w:val="00455242"/>
    <w:rsid w:val="0046247F"/>
    <w:rsid w:val="00465D2E"/>
    <w:rsid w:val="00465DDB"/>
    <w:rsid w:val="004671CA"/>
    <w:rsid w:val="004705BC"/>
    <w:rsid w:val="004751F9"/>
    <w:rsid w:val="00481FE8"/>
    <w:rsid w:val="00482581"/>
    <w:rsid w:val="00482924"/>
    <w:rsid w:val="00486524"/>
    <w:rsid w:val="004873A9"/>
    <w:rsid w:val="00490CB2"/>
    <w:rsid w:val="00494BE3"/>
    <w:rsid w:val="00497AE0"/>
    <w:rsid w:val="004A1561"/>
    <w:rsid w:val="004A1B41"/>
    <w:rsid w:val="004A3F5A"/>
    <w:rsid w:val="004B0816"/>
    <w:rsid w:val="004B58AE"/>
    <w:rsid w:val="004B5931"/>
    <w:rsid w:val="004B61BF"/>
    <w:rsid w:val="004C2075"/>
    <w:rsid w:val="004D477C"/>
    <w:rsid w:val="004E09A6"/>
    <w:rsid w:val="004E532C"/>
    <w:rsid w:val="004E68AA"/>
    <w:rsid w:val="004F1EB8"/>
    <w:rsid w:val="004F1F77"/>
    <w:rsid w:val="004F3F79"/>
    <w:rsid w:val="004F4119"/>
    <w:rsid w:val="004F7CF8"/>
    <w:rsid w:val="00500923"/>
    <w:rsid w:val="00502500"/>
    <w:rsid w:val="005030F2"/>
    <w:rsid w:val="005066DD"/>
    <w:rsid w:val="005122FA"/>
    <w:rsid w:val="00513B8A"/>
    <w:rsid w:val="00514C07"/>
    <w:rsid w:val="005254F3"/>
    <w:rsid w:val="00541A73"/>
    <w:rsid w:val="00541D1D"/>
    <w:rsid w:val="00542692"/>
    <w:rsid w:val="005459A6"/>
    <w:rsid w:val="00552C7D"/>
    <w:rsid w:val="00554955"/>
    <w:rsid w:val="00556A39"/>
    <w:rsid w:val="005633D3"/>
    <w:rsid w:val="005658A8"/>
    <w:rsid w:val="0057558B"/>
    <w:rsid w:val="00583468"/>
    <w:rsid w:val="00592350"/>
    <w:rsid w:val="00593666"/>
    <w:rsid w:val="00595D49"/>
    <w:rsid w:val="005A12FA"/>
    <w:rsid w:val="005A5699"/>
    <w:rsid w:val="005A59F6"/>
    <w:rsid w:val="005B00F0"/>
    <w:rsid w:val="005B14A8"/>
    <w:rsid w:val="005B1B42"/>
    <w:rsid w:val="005B1CD4"/>
    <w:rsid w:val="005B2DE2"/>
    <w:rsid w:val="005B638D"/>
    <w:rsid w:val="005C1763"/>
    <w:rsid w:val="005D43B7"/>
    <w:rsid w:val="005D52BF"/>
    <w:rsid w:val="005E0946"/>
    <w:rsid w:val="005E1272"/>
    <w:rsid w:val="005E2047"/>
    <w:rsid w:val="005E2EC6"/>
    <w:rsid w:val="005E3489"/>
    <w:rsid w:val="005E4D95"/>
    <w:rsid w:val="005E537A"/>
    <w:rsid w:val="005F17E8"/>
    <w:rsid w:val="005F1DC4"/>
    <w:rsid w:val="005F6AB0"/>
    <w:rsid w:val="005F72DC"/>
    <w:rsid w:val="00605CBF"/>
    <w:rsid w:val="006122FE"/>
    <w:rsid w:val="006164FE"/>
    <w:rsid w:val="0061798C"/>
    <w:rsid w:val="00620E4B"/>
    <w:rsid w:val="00621990"/>
    <w:rsid w:val="006250B4"/>
    <w:rsid w:val="0063782A"/>
    <w:rsid w:val="006430CF"/>
    <w:rsid w:val="00652B94"/>
    <w:rsid w:val="0065417F"/>
    <w:rsid w:val="00662A2F"/>
    <w:rsid w:val="006631BE"/>
    <w:rsid w:val="00684892"/>
    <w:rsid w:val="00686FBC"/>
    <w:rsid w:val="006909A6"/>
    <w:rsid w:val="00690E48"/>
    <w:rsid w:val="00692ADA"/>
    <w:rsid w:val="00694D00"/>
    <w:rsid w:val="006979B0"/>
    <w:rsid w:val="006A1012"/>
    <w:rsid w:val="006A4851"/>
    <w:rsid w:val="006B4C11"/>
    <w:rsid w:val="006B5AE5"/>
    <w:rsid w:val="006C6DB6"/>
    <w:rsid w:val="006D05CC"/>
    <w:rsid w:val="006D2B61"/>
    <w:rsid w:val="006D373F"/>
    <w:rsid w:val="006D4204"/>
    <w:rsid w:val="006F0AEF"/>
    <w:rsid w:val="006F6F18"/>
    <w:rsid w:val="006F78FA"/>
    <w:rsid w:val="00702B05"/>
    <w:rsid w:val="00710623"/>
    <w:rsid w:val="007135C1"/>
    <w:rsid w:val="00720DEB"/>
    <w:rsid w:val="007232F2"/>
    <w:rsid w:val="007247D4"/>
    <w:rsid w:val="007264BF"/>
    <w:rsid w:val="00727BA8"/>
    <w:rsid w:val="0073048C"/>
    <w:rsid w:val="0073180F"/>
    <w:rsid w:val="00732330"/>
    <w:rsid w:val="00735962"/>
    <w:rsid w:val="00737797"/>
    <w:rsid w:val="007472E0"/>
    <w:rsid w:val="0075482B"/>
    <w:rsid w:val="0076142A"/>
    <w:rsid w:val="00764FA5"/>
    <w:rsid w:val="007677F5"/>
    <w:rsid w:val="00767F4A"/>
    <w:rsid w:val="00773048"/>
    <w:rsid w:val="00773E88"/>
    <w:rsid w:val="00774BB7"/>
    <w:rsid w:val="0077591B"/>
    <w:rsid w:val="0078355E"/>
    <w:rsid w:val="00785A32"/>
    <w:rsid w:val="0078663C"/>
    <w:rsid w:val="0078776A"/>
    <w:rsid w:val="00794D46"/>
    <w:rsid w:val="00795764"/>
    <w:rsid w:val="007A107E"/>
    <w:rsid w:val="007A5C86"/>
    <w:rsid w:val="007B06E8"/>
    <w:rsid w:val="007B6E15"/>
    <w:rsid w:val="007D1A49"/>
    <w:rsid w:val="007D6241"/>
    <w:rsid w:val="007D7DFF"/>
    <w:rsid w:val="007E100E"/>
    <w:rsid w:val="007E1886"/>
    <w:rsid w:val="007E2EC1"/>
    <w:rsid w:val="007E300F"/>
    <w:rsid w:val="007E44DD"/>
    <w:rsid w:val="007F32BD"/>
    <w:rsid w:val="007F3433"/>
    <w:rsid w:val="007F7BD9"/>
    <w:rsid w:val="00802467"/>
    <w:rsid w:val="0080255F"/>
    <w:rsid w:val="008046B5"/>
    <w:rsid w:val="008053EB"/>
    <w:rsid w:val="00816905"/>
    <w:rsid w:val="008172A8"/>
    <w:rsid w:val="00822196"/>
    <w:rsid w:val="008260A7"/>
    <w:rsid w:val="008339EB"/>
    <w:rsid w:val="00844523"/>
    <w:rsid w:val="00854C36"/>
    <w:rsid w:val="00860307"/>
    <w:rsid w:val="008663A6"/>
    <w:rsid w:val="00867AC5"/>
    <w:rsid w:val="008700D7"/>
    <w:rsid w:val="00871B12"/>
    <w:rsid w:val="0087410E"/>
    <w:rsid w:val="008762AB"/>
    <w:rsid w:val="00877891"/>
    <w:rsid w:val="00880EBC"/>
    <w:rsid w:val="00881E89"/>
    <w:rsid w:val="00885ACF"/>
    <w:rsid w:val="00897B8E"/>
    <w:rsid w:val="008A12FC"/>
    <w:rsid w:val="008A57F7"/>
    <w:rsid w:val="008A5D17"/>
    <w:rsid w:val="008B57E3"/>
    <w:rsid w:val="008C54DE"/>
    <w:rsid w:val="008D360B"/>
    <w:rsid w:val="008D455F"/>
    <w:rsid w:val="008E70A5"/>
    <w:rsid w:val="008E72D6"/>
    <w:rsid w:val="008E7C99"/>
    <w:rsid w:val="008F1A0E"/>
    <w:rsid w:val="008F287A"/>
    <w:rsid w:val="008F51E9"/>
    <w:rsid w:val="009007A6"/>
    <w:rsid w:val="009041E4"/>
    <w:rsid w:val="00904987"/>
    <w:rsid w:val="0091046A"/>
    <w:rsid w:val="00915239"/>
    <w:rsid w:val="00920D16"/>
    <w:rsid w:val="00922243"/>
    <w:rsid w:val="009223DA"/>
    <w:rsid w:val="00922F18"/>
    <w:rsid w:val="00923ED8"/>
    <w:rsid w:val="00930485"/>
    <w:rsid w:val="00931FAE"/>
    <w:rsid w:val="00933D1B"/>
    <w:rsid w:val="00935466"/>
    <w:rsid w:val="00942D9A"/>
    <w:rsid w:val="00950822"/>
    <w:rsid w:val="009577BE"/>
    <w:rsid w:val="009659A5"/>
    <w:rsid w:val="00975BF9"/>
    <w:rsid w:val="00976A2F"/>
    <w:rsid w:val="009862AE"/>
    <w:rsid w:val="009911DD"/>
    <w:rsid w:val="0099610B"/>
    <w:rsid w:val="00997F5D"/>
    <w:rsid w:val="009B6FFA"/>
    <w:rsid w:val="009C2062"/>
    <w:rsid w:val="009C613B"/>
    <w:rsid w:val="009D0258"/>
    <w:rsid w:val="009D23B4"/>
    <w:rsid w:val="009D5A93"/>
    <w:rsid w:val="009E5E72"/>
    <w:rsid w:val="009E64D9"/>
    <w:rsid w:val="009F4F76"/>
    <w:rsid w:val="00A004AE"/>
    <w:rsid w:val="00A0381F"/>
    <w:rsid w:val="00A03D93"/>
    <w:rsid w:val="00A123B7"/>
    <w:rsid w:val="00A21962"/>
    <w:rsid w:val="00A21DA1"/>
    <w:rsid w:val="00A2263B"/>
    <w:rsid w:val="00A243D1"/>
    <w:rsid w:val="00A352F0"/>
    <w:rsid w:val="00A41D40"/>
    <w:rsid w:val="00A44C50"/>
    <w:rsid w:val="00A45F2D"/>
    <w:rsid w:val="00A51026"/>
    <w:rsid w:val="00A52656"/>
    <w:rsid w:val="00A5600E"/>
    <w:rsid w:val="00A612BE"/>
    <w:rsid w:val="00A704B8"/>
    <w:rsid w:val="00A70CEB"/>
    <w:rsid w:val="00A735E7"/>
    <w:rsid w:val="00A77496"/>
    <w:rsid w:val="00A77690"/>
    <w:rsid w:val="00A829FB"/>
    <w:rsid w:val="00A970E6"/>
    <w:rsid w:val="00AA10F0"/>
    <w:rsid w:val="00AA4B1E"/>
    <w:rsid w:val="00AA691B"/>
    <w:rsid w:val="00AB1A16"/>
    <w:rsid w:val="00AB2427"/>
    <w:rsid w:val="00AB5FA6"/>
    <w:rsid w:val="00AB641F"/>
    <w:rsid w:val="00AC148A"/>
    <w:rsid w:val="00AC4010"/>
    <w:rsid w:val="00AD0BE2"/>
    <w:rsid w:val="00AD2715"/>
    <w:rsid w:val="00AD48DA"/>
    <w:rsid w:val="00AD7866"/>
    <w:rsid w:val="00AE082B"/>
    <w:rsid w:val="00AE11DE"/>
    <w:rsid w:val="00AE1F4F"/>
    <w:rsid w:val="00AE35C5"/>
    <w:rsid w:val="00AE4938"/>
    <w:rsid w:val="00AF43BB"/>
    <w:rsid w:val="00AF4779"/>
    <w:rsid w:val="00AF7E0D"/>
    <w:rsid w:val="00AF7EA0"/>
    <w:rsid w:val="00B00B73"/>
    <w:rsid w:val="00B029B9"/>
    <w:rsid w:val="00B07BF1"/>
    <w:rsid w:val="00B1018E"/>
    <w:rsid w:val="00B12CFD"/>
    <w:rsid w:val="00B13408"/>
    <w:rsid w:val="00B13749"/>
    <w:rsid w:val="00B16CA1"/>
    <w:rsid w:val="00B200E3"/>
    <w:rsid w:val="00B21A56"/>
    <w:rsid w:val="00B25A35"/>
    <w:rsid w:val="00B36092"/>
    <w:rsid w:val="00B43982"/>
    <w:rsid w:val="00B65F54"/>
    <w:rsid w:val="00B67EC8"/>
    <w:rsid w:val="00B8055B"/>
    <w:rsid w:val="00B87297"/>
    <w:rsid w:val="00B95E62"/>
    <w:rsid w:val="00BA4322"/>
    <w:rsid w:val="00BA458E"/>
    <w:rsid w:val="00BA5616"/>
    <w:rsid w:val="00BA5BFD"/>
    <w:rsid w:val="00BB04B5"/>
    <w:rsid w:val="00BB1181"/>
    <w:rsid w:val="00BB2C5C"/>
    <w:rsid w:val="00BC2974"/>
    <w:rsid w:val="00BC32C8"/>
    <w:rsid w:val="00BC73A0"/>
    <w:rsid w:val="00BD09E2"/>
    <w:rsid w:val="00BD4E7A"/>
    <w:rsid w:val="00BD5BD0"/>
    <w:rsid w:val="00BD6F37"/>
    <w:rsid w:val="00BE3598"/>
    <w:rsid w:val="00BE3721"/>
    <w:rsid w:val="00BE37E3"/>
    <w:rsid w:val="00BE6D14"/>
    <w:rsid w:val="00BE7B2E"/>
    <w:rsid w:val="00BF1CBB"/>
    <w:rsid w:val="00BF521E"/>
    <w:rsid w:val="00BF65B6"/>
    <w:rsid w:val="00C00D8C"/>
    <w:rsid w:val="00C0628B"/>
    <w:rsid w:val="00C068F8"/>
    <w:rsid w:val="00C13956"/>
    <w:rsid w:val="00C13FFA"/>
    <w:rsid w:val="00C169B1"/>
    <w:rsid w:val="00C16DC8"/>
    <w:rsid w:val="00C2432A"/>
    <w:rsid w:val="00C25EAC"/>
    <w:rsid w:val="00C31EBF"/>
    <w:rsid w:val="00C33585"/>
    <w:rsid w:val="00C34522"/>
    <w:rsid w:val="00C34FA4"/>
    <w:rsid w:val="00C37D65"/>
    <w:rsid w:val="00C4168E"/>
    <w:rsid w:val="00C53915"/>
    <w:rsid w:val="00C56E85"/>
    <w:rsid w:val="00C642DF"/>
    <w:rsid w:val="00C74E5B"/>
    <w:rsid w:val="00C76CD6"/>
    <w:rsid w:val="00C8431C"/>
    <w:rsid w:val="00C85537"/>
    <w:rsid w:val="00C932F9"/>
    <w:rsid w:val="00CA32FD"/>
    <w:rsid w:val="00CB1805"/>
    <w:rsid w:val="00CB19D1"/>
    <w:rsid w:val="00CB3691"/>
    <w:rsid w:val="00CC1D89"/>
    <w:rsid w:val="00CC1E94"/>
    <w:rsid w:val="00CD56F0"/>
    <w:rsid w:val="00CE16F5"/>
    <w:rsid w:val="00CE5194"/>
    <w:rsid w:val="00CE592C"/>
    <w:rsid w:val="00CF3BAF"/>
    <w:rsid w:val="00CF475D"/>
    <w:rsid w:val="00CF635E"/>
    <w:rsid w:val="00CF7896"/>
    <w:rsid w:val="00D00E0D"/>
    <w:rsid w:val="00D02D62"/>
    <w:rsid w:val="00D115E5"/>
    <w:rsid w:val="00D11B2F"/>
    <w:rsid w:val="00D30C58"/>
    <w:rsid w:val="00D3343B"/>
    <w:rsid w:val="00D369F6"/>
    <w:rsid w:val="00D411D8"/>
    <w:rsid w:val="00D44FD7"/>
    <w:rsid w:val="00D47782"/>
    <w:rsid w:val="00D54A58"/>
    <w:rsid w:val="00D57995"/>
    <w:rsid w:val="00D63516"/>
    <w:rsid w:val="00D63ECD"/>
    <w:rsid w:val="00D66E2D"/>
    <w:rsid w:val="00D70F00"/>
    <w:rsid w:val="00D73B2F"/>
    <w:rsid w:val="00D7761D"/>
    <w:rsid w:val="00D7781A"/>
    <w:rsid w:val="00D77C98"/>
    <w:rsid w:val="00D826A6"/>
    <w:rsid w:val="00D85404"/>
    <w:rsid w:val="00D86646"/>
    <w:rsid w:val="00D91197"/>
    <w:rsid w:val="00D96DBB"/>
    <w:rsid w:val="00DA406B"/>
    <w:rsid w:val="00DA4B15"/>
    <w:rsid w:val="00DA6D04"/>
    <w:rsid w:val="00DA711E"/>
    <w:rsid w:val="00DB2A38"/>
    <w:rsid w:val="00DB4465"/>
    <w:rsid w:val="00DC0EF0"/>
    <w:rsid w:val="00DD3553"/>
    <w:rsid w:val="00DE2FEE"/>
    <w:rsid w:val="00DE3648"/>
    <w:rsid w:val="00DF3E07"/>
    <w:rsid w:val="00DF42DA"/>
    <w:rsid w:val="00DF5E0D"/>
    <w:rsid w:val="00E00B36"/>
    <w:rsid w:val="00E066EE"/>
    <w:rsid w:val="00E07AAF"/>
    <w:rsid w:val="00E115AC"/>
    <w:rsid w:val="00E14D56"/>
    <w:rsid w:val="00E16520"/>
    <w:rsid w:val="00E16F2F"/>
    <w:rsid w:val="00E31D26"/>
    <w:rsid w:val="00E36675"/>
    <w:rsid w:val="00E36E5D"/>
    <w:rsid w:val="00E57A5F"/>
    <w:rsid w:val="00E57E72"/>
    <w:rsid w:val="00E61597"/>
    <w:rsid w:val="00E6572A"/>
    <w:rsid w:val="00E678EF"/>
    <w:rsid w:val="00E841C7"/>
    <w:rsid w:val="00E97E86"/>
    <w:rsid w:val="00EA14A0"/>
    <w:rsid w:val="00EA33F1"/>
    <w:rsid w:val="00EA3B28"/>
    <w:rsid w:val="00EB47E6"/>
    <w:rsid w:val="00EB7054"/>
    <w:rsid w:val="00EC1C67"/>
    <w:rsid w:val="00EC320D"/>
    <w:rsid w:val="00EC35BC"/>
    <w:rsid w:val="00EC6CAA"/>
    <w:rsid w:val="00ED2502"/>
    <w:rsid w:val="00EE1EB6"/>
    <w:rsid w:val="00EE7E75"/>
    <w:rsid w:val="00EF0E4B"/>
    <w:rsid w:val="00EF20A2"/>
    <w:rsid w:val="00EF4302"/>
    <w:rsid w:val="00EF693B"/>
    <w:rsid w:val="00F02A7B"/>
    <w:rsid w:val="00F13428"/>
    <w:rsid w:val="00F142A8"/>
    <w:rsid w:val="00F15569"/>
    <w:rsid w:val="00F20F80"/>
    <w:rsid w:val="00F22818"/>
    <w:rsid w:val="00F249C5"/>
    <w:rsid w:val="00F25593"/>
    <w:rsid w:val="00F31A65"/>
    <w:rsid w:val="00F33F29"/>
    <w:rsid w:val="00F532EB"/>
    <w:rsid w:val="00F55CC9"/>
    <w:rsid w:val="00F60535"/>
    <w:rsid w:val="00F60C7E"/>
    <w:rsid w:val="00F648D7"/>
    <w:rsid w:val="00F7264F"/>
    <w:rsid w:val="00F74255"/>
    <w:rsid w:val="00F77AD9"/>
    <w:rsid w:val="00F84E5C"/>
    <w:rsid w:val="00F867E3"/>
    <w:rsid w:val="00F91242"/>
    <w:rsid w:val="00F9239D"/>
    <w:rsid w:val="00F92AEC"/>
    <w:rsid w:val="00FA6C43"/>
    <w:rsid w:val="00FA7337"/>
    <w:rsid w:val="00FA738E"/>
    <w:rsid w:val="00FA7496"/>
    <w:rsid w:val="00FB1FD4"/>
    <w:rsid w:val="00FB7C03"/>
    <w:rsid w:val="00FC1192"/>
    <w:rsid w:val="00FC27DB"/>
    <w:rsid w:val="00FC3911"/>
    <w:rsid w:val="00FD020E"/>
    <w:rsid w:val="00FD5D33"/>
    <w:rsid w:val="00FE2E8B"/>
    <w:rsid w:val="00FE3630"/>
    <w:rsid w:val="00FE6654"/>
    <w:rsid w:val="00FF06C8"/>
    <w:rsid w:val="00FF107A"/>
    <w:rsid w:val="00FF2D70"/>
    <w:rsid w:val="00FF7DAD"/>
    <w:rsid w:val="02247ACE"/>
    <w:rsid w:val="02C07EB3"/>
    <w:rsid w:val="02EB2A08"/>
    <w:rsid w:val="02F10929"/>
    <w:rsid w:val="02F96864"/>
    <w:rsid w:val="039C3EAA"/>
    <w:rsid w:val="04172FE8"/>
    <w:rsid w:val="043833BC"/>
    <w:rsid w:val="049B3DCF"/>
    <w:rsid w:val="04B52867"/>
    <w:rsid w:val="04B56B26"/>
    <w:rsid w:val="05D428E0"/>
    <w:rsid w:val="06184FAC"/>
    <w:rsid w:val="066C6D83"/>
    <w:rsid w:val="06954AF6"/>
    <w:rsid w:val="06A143CE"/>
    <w:rsid w:val="06D618A2"/>
    <w:rsid w:val="0718609D"/>
    <w:rsid w:val="07A50D69"/>
    <w:rsid w:val="081D22BD"/>
    <w:rsid w:val="088F739E"/>
    <w:rsid w:val="089D2A4B"/>
    <w:rsid w:val="09565F9B"/>
    <w:rsid w:val="09BA135F"/>
    <w:rsid w:val="0A053EB5"/>
    <w:rsid w:val="0A256191"/>
    <w:rsid w:val="0A724DA4"/>
    <w:rsid w:val="0AFF7DB0"/>
    <w:rsid w:val="0B102794"/>
    <w:rsid w:val="0B9F01C5"/>
    <w:rsid w:val="0BF07BDA"/>
    <w:rsid w:val="0C077D79"/>
    <w:rsid w:val="0CC021A1"/>
    <w:rsid w:val="0CD30CE9"/>
    <w:rsid w:val="0CE2641B"/>
    <w:rsid w:val="0D2F7927"/>
    <w:rsid w:val="0D702B3F"/>
    <w:rsid w:val="0E686739"/>
    <w:rsid w:val="0E8076CD"/>
    <w:rsid w:val="0E9D16E1"/>
    <w:rsid w:val="0F0C791F"/>
    <w:rsid w:val="0FD2175C"/>
    <w:rsid w:val="103B2B33"/>
    <w:rsid w:val="104D4DC5"/>
    <w:rsid w:val="106A5D5C"/>
    <w:rsid w:val="10D601E5"/>
    <w:rsid w:val="10F16DCD"/>
    <w:rsid w:val="112A6783"/>
    <w:rsid w:val="112B6015"/>
    <w:rsid w:val="113A6567"/>
    <w:rsid w:val="11556359"/>
    <w:rsid w:val="11953833"/>
    <w:rsid w:val="11A87F82"/>
    <w:rsid w:val="11B70029"/>
    <w:rsid w:val="11FB5196"/>
    <w:rsid w:val="126324E4"/>
    <w:rsid w:val="12FC58B1"/>
    <w:rsid w:val="13253A8F"/>
    <w:rsid w:val="13E56D04"/>
    <w:rsid w:val="14110DA4"/>
    <w:rsid w:val="143A52CF"/>
    <w:rsid w:val="14A605A6"/>
    <w:rsid w:val="14B02D81"/>
    <w:rsid w:val="15086EEE"/>
    <w:rsid w:val="15427BF2"/>
    <w:rsid w:val="15AD1629"/>
    <w:rsid w:val="15DA1380"/>
    <w:rsid w:val="15F9556A"/>
    <w:rsid w:val="160475A2"/>
    <w:rsid w:val="163A2FC4"/>
    <w:rsid w:val="16A244BB"/>
    <w:rsid w:val="16DE1BA1"/>
    <w:rsid w:val="170B1079"/>
    <w:rsid w:val="17326391"/>
    <w:rsid w:val="17614581"/>
    <w:rsid w:val="17A161F9"/>
    <w:rsid w:val="17B43ECF"/>
    <w:rsid w:val="17FB1812"/>
    <w:rsid w:val="185C1D1C"/>
    <w:rsid w:val="185D1F39"/>
    <w:rsid w:val="185E14DA"/>
    <w:rsid w:val="19006747"/>
    <w:rsid w:val="1976156B"/>
    <w:rsid w:val="1A143B2C"/>
    <w:rsid w:val="1A7841D7"/>
    <w:rsid w:val="1B4A3CA9"/>
    <w:rsid w:val="1B566A1D"/>
    <w:rsid w:val="1B73527D"/>
    <w:rsid w:val="1BAA299A"/>
    <w:rsid w:val="1BC23802"/>
    <w:rsid w:val="1BCC2910"/>
    <w:rsid w:val="1C1F23F4"/>
    <w:rsid w:val="1C842FE3"/>
    <w:rsid w:val="1CC46591"/>
    <w:rsid w:val="1D1B72C8"/>
    <w:rsid w:val="1D3117EF"/>
    <w:rsid w:val="1DB622C6"/>
    <w:rsid w:val="1DF34209"/>
    <w:rsid w:val="1E391DB3"/>
    <w:rsid w:val="1EF80D2C"/>
    <w:rsid w:val="1F42168A"/>
    <w:rsid w:val="1F8B4F0A"/>
    <w:rsid w:val="1FD04999"/>
    <w:rsid w:val="204F58C7"/>
    <w:rsid w:val="20A902C3"/>
    <w:rsid w:val="20AF4980"/>
    <w:rsid w:val="20B16579"/>
    <w:rsid w:val="20B24AC2"/>
    <w:rsid w:val="20DA049D"/>
    <w:rsid w:val="20E32F6E"/>
    <w:rsid w:val="213963BC"/>
    <w:rsid w:val="214E70F2"/>
    <w:rsid w:val="219F5F73"/>
    <w:rsid w:val="21B11E97"/>
    <w:rsid w:val="21C26275"/>
    <w:rsid w:val="22150952"/>
    <w:rsid w:val="2218649E"/>
    <w:rsid w:val="22252D7A"/>
    <w:rsid w:val="225E13C2"/>
    <w:rsid w:val="2372338B"/>
    <w:rsid w:val="23B3160E"/>
    <w:rsid w:val="23BE57FB"/>
    <w:rsid w:val="23EC4AF6"/>
    <w:rsid w:val="23F20755"/>
    <w:rsid w:val="24594F5D"/>
    <w:rsid w:val="254D45A6"/>
    <w:rsid w:val="255C0A35"/>
    <w:rsid w:val="265875AD"/>
    <w:rsid w:val="266320C3"/>
    <w:rsid w:val="2762237B"/>
    <w:rsid w:val="285D27BB"/>
    <w:rsid w:val="28C302AE"/>
    <w:rsid w:val="28FF091D"/>
    <w:rsid w:val="29376A7F"/>
    <w:rsid w:val="298020D1"/>
    <w:rsid w:val="2A7FB256"/>
    <w:rsid w:val="2A941C2E"/>
    <w:rsid w:val="2AB62559"/>
    <w:rsid w:val="2B781675"/>
    <w:rsid w:val="2B7A13BF"/>
    <w:rsid w:val="2BA4711B"/>
    <w:rsid w:val="2BC37B2C"/>
    <w:rsid w:val="2C0559CB"/>
    <w:rsid w:val="2C175298"/>
    <w:rsid w:val="2C2B29CA"/>
    <w:rsid w:val="2C6426F1"/>
    <w:rsid w:val="2C7E130F"/>
    <w:rsid w:val="2C892158"/>
    <w:rsid w:val="2C8F7CAB"/>
    <w:rsid w:val="2CB56029"/>
    <w:rsid w:val="2D320A41"/>
    <w:rsid w:val="2D852E71"/>
    <w:rsid w:val="2D9C3A18"/>
    <w:rsid w:val="2DB3625E"/>
    <w:rsid w:val="2E114FDD"/>
    <w:rsid w:val="2E323ECD"/>
    <w:rsid w:val="2E6C3FF8"/>
    <w:rsid w:val="2E976DAE"/>
    <w:rsid w:val="2EDA0361"/>
    <w:rsid w:val="2EDA73C9"/>
    <w:rsid w:val="2F147825"/>
    <w:rsid w:val="2F886274"/>
    <w:rsid w:val="2FAA2036"/>
    <w:rsid w:val="2FDB7E99"/>
    <w:rsid w:val="302A655A"/>
    <w:rsid w:val="30682C7A"/>
    <w:rsid w:val="309F550C"/>
    <w:rsid w:val="31017F44"/>
    <w:rsid w:val="31523460"/>
    <w:rsid w:val="315D30CA"/>
    <w:rsid w:val="31982892"/>
    <w:rsid w:val="31A76041"/>
    <w:rsid w:val="31BD45C7"/>
    <w:rsid w:val="32062DDC"/>
    <w:rsid w:val="32457E88"/>
    <w:rsid w:val="326066BC"/>
    <w:rsid w:val="32A970D8"/>
    <w:rsid w:val="338D00AD"/>
    <w:rsid w:val="33DB1FC0"/>
    <w:rsid w:val="33F7635C"/>
    <w:rsid w:val="34117B01"/>
    <w:rsid w:val="356E5B3C"/>
    <w:rsid w:val="35F06330"/>
    <w:rsid w:val="360337E4"/>
    <w:rsid w:val="36424C30"/>
    <w:rsid w:val="368C72A9"/>
    <w:rsid w:val="373A2B8B"/>
    <w:rsid w:val="374C526C"/>
    <w:rsid w:val="37555A58"/>
    <w:rsid w:val="37CB7EE7"/>
    <w:rsid w:val="38926FEF"/>
    <w:rsid w:val="39065634"/>
    <w:rsid w:val="393B5238"/>
    <w:rsid w:val="39694B31"/>
    <w:rsid w:val="39765215"/>
    <w:rsid w:val="397D3D88"/>
    <w:rsid w:val="39AB1959"/>
    <w:rsid w:val="39C075AD"/>
    <w:rsid w:val="3A230977"/>
    <w:rsid w:val="3AD5536C"/>
    <w:rsid w:val="3B0D6CC5"/>
    <w:rsid w:val="3B8F6F8B"/>
    <w:rsid w:val="3BE23632"/>
    <w:rsid w:val="3BF45BBB"/>
    <w:rsid w:val="3BF61227"/>
    <w:rsid w:val="3C1B3311"/>
    <w:rsid w:val="3C1C4902"/>
    <w:rsid w:val="3C610A26"/>
    <w:rsid w:val="3CA640DC"/>
    <w:rsid w:val="3D121CF5"/>
    <w:rsid w:val="3D2C68ED"/>
    <w:rsid w:val="3D371390"/>
    <w:rsid w:val="3DD403A2"/>
    <w:rsid w:val="3EDC507D"/>
    <w:rsid w:val="3EDD39B1"/>
    <w:rsid w:val="3EFA6EDD"/>
    <w:rsid w:val="3F0B2EA0"/>
    <w:rsid w:val="3F177A97"/>
    <w:rsid w:val="3F9D5328"/>
    <w:rsid w:val="3F9F4419"/>
    <w:rsid w:val="3FA01E9C"/>
    <w:rsid w:val="3FBF7C72"/>
    <w:rsid w:val="3FCA4099"/>
    <w:rsid w:val="40B45A80"/>
    <w:rsid w:val="40C72BB9"/>
    <w:rsid w:val="417F558F"/>
    <w:rsid w:val="419001E6"/>
    <w:rsid w:val="41C23CEA"/>
    <w:rsid w:val="420F3162"/>
    <w:rsid w:val="423D0B0F"/>
    <w:rsid w:val="42485F59"/>
    <w:rsid w:val="42664D8A"/>
    <w:rsid w:val="427B6C12"/>
    <w:rsid w:val="42D96DBE"/>
    <w:rsid w:val="43227C96"/>
    <w:rsid w:val="43471949"/>
    <w:rsid w:val="435A3CF0"/>
    <w:rsid w:val="437F2728"/>
    <w:rsid w:val="438559AC"/>
    <w:rsid w:val="43ED645B"/>
    <w:rsid w:val="443543B8"/>
    <w:rsid w:val="446948F1"/>
    <w:rsid w:val="44D91363"/>
    <w:rsid w:val="44F03D2A"/>
    <w:rsid w:val="454C3F66"/>
    <w:rsid w:val="45AD5BD3"/>
    <w:rsid w:val="45DF6719"/>
    <w:rsid w:val="45E850CA"/>
    <w:rsid w:val="46AF2DE6"/>
    <w:rsid w:val="46CC35EE"/>
    <w:rsid w:val="46E95F5B"/>
    <w:rsid w:val="46F06EDE"/>
    <w:rsid w:val="470661A7"/>
    <w:rsid w:val="4774493D"/>
    <w:rsid w:val="477E30E1"/>
    <w:rsid w:val="47CC2509"/>
    <w:rsid w:val="47E62015"/>
    <w:rsid w:val="48B97C81"/>
    <w:rsid w:val="48FC3A9E"/>
    <w:rsid w:val="49117305"/>
    <w:rsid w:val="49341A0E"/>
    <w:rsid w:val="498B5309"/>
    <w:rsid w:val="49A70DC8"/>
    <w:rsid w:val="49FE1A62"/>
    <w:rsid w:val="4A5518B0"/>
    <w:rsid w:val="4A567D5F"/>
    <w:rsid w:val="4B7842DC"/>
    <w:rsid w:val="4B7A2048"/>
    <w:rsid w:val="4BD038EC"/>
    <w:rsid w:val="4C3265F7"/>
    <w:rsid w:val="4C397DE0"/>
    <w:rsid w:val="4C8A2ADB"/>
    <w:rsid w:val="4CA87F80"/>
    <w:rsid w:val="4CD307BB"/>
    <w:rsid w:val="4D1D271C"/>
    <w:rsid w:val="4D562ACB"/>
    <w:rsid w:val="4D602609"/>
    <w:rsid w:val="4D863FB8"/>
    <w:rsid w:val="4D8D4183"/>
    <w:rsid w:val="4E0771AF"/>
    <w:rsid w:val="4E183A13"/>
    <w:rsid w:val="4EAA4484"/>
    <w:rsid w:val="4EDD03B5"/>
    <w:rsid w:val="4F375EFC"/>
    <w:rsid w:val="4F6D09B0"/>
    <w:rsid w:val="4FA61A93"/>
    <w:rsid w:val="504B3267"/>
    <w:rsid w:val="50855026"/>
    <w:rsid w:val="50CA4D40"/>
    <w:rsid w:val="50CC21E5"/>
    <w:rsid w:val="51C81B9D"/>
    <w:rsid w:val="51E23738"/>
    <w:rsid w:val="521A6267"/>
    <w:rsid w:val="528127A4"/>
    <w:rsid w:val="52952A4E"/>
    <w:rsid w:val="52B471A0"/>
    <w:rsid w:val="52D415BA"/>
    <w:rsid w:val="52FB0162"/>
    <w:rsid w:val="53373A29"/>
    <w:rsid w:val="539A1721"/>
    <w:rsid w:val="53C47270"/>
    <w:rsid w:val="54077C82"/>
    <w:rsid w:val="55087514"/>
    <w:rsid w:val="554271C4"/>
    <w:rsid w:val="558C3F56"/>
    <w:rsid w:val="564A09BF"/>
    <w:rsid w:val="56D65BB5"/>
    <w:rsid w:val="56F10E1C"/>
    <w:rsid w:val="56F444EE"/>
    <w:rsid w:val="574D3DB4"/>
    <w:rsid w:val="57AD1ACD"/>
    <w:rsid w:val="57C31251"/>
    <w:rsid w:val="57E04765"/>
    <w:rsid w:val="58045A1B"/>
    <w:rsid w:val="58E17188"/>
    <w:rsid w:val="597C74F6"/>
    <w:rsid w:val="598F47EC"/>
    <w:rsid w:val="599C5C62"/>
    <w:rsid w:val="59CC52AE"/>
    <w:rsid w:val="59D21123"/>
    <w:rsid w:val="5A93063C"/>
    <w:rsid w:val="5A9824AE"/>
    <w:rsid w:val="5BBD0421"/>
    <w:rsid w:val="5BE72873"/>
    <w:rsid w:val="5C2623B2"/>
    <w:rsid w:val="5C3A480E"/>
    <w:rsid w:val="5C7560D1"/>
    <w:rsid w:val="5C990D82"/>
    <w:rsid w:val="5CF3349A"/>
    <w:rsid w:val="5D43174A"/>
    <w:rsid w:val="5DB22FA0"/>
    <w:rsid w:val="5DBE7A63"/>
    <w:rsid w:val="5E0433B9"/>
    <w:rsid w:val="5E947D60"/>
    <w:rsid w:val="5EA467FA"/>
    <w:rsid w:val="5EAE0BB2"/>
    <w:rsid w:val="5ECF29DF"/>
    <w:rsid w:val="5F3C5DBB"/>
    <w:rsid w:val="5F65716A"/>
    <w:rsid w:val="5FE840AF"/>
    <w:rsid w:val="5FEC48FC"/>
    <w:rsid w:val="6096353A"/>
    <w:rsid w:val="612E684E"/>
    <w:rsid w:val="61574E39"/>
    <w:rsid w:val="619A3EE4"/>
    <w:rsid w:val="61B85D3F"/>
    <w:rsid w:val="621F343D"/>
    <w:rsid w:val="62760D6B"/>
    <w:rsid w:val="62CC631F"/>
    <w:rsid w:val="62FE24FC"/>
    <w:rsid w:val="63157400"/>
    <w:rsid w:val="63233B27"/>
    <w:rsid w:val="63AE1A59"/>
    <w:rsid w:val="64065861"/>
    <w:rsid w:val="6452794C"/>
    <w:rsid w:val="649A40E6"/>
    <w:rsid w:val="64A532CB"/>
    <w:rsid w:val="64CE45BC"/>
    <w:rsid w:val="65492A2D"/>
    <w:rsid w:val="655567F9"/>
    <w:rsid w:val="656A35BA"/>
    <w:rsid w:val="65826A9E"/>
    <w:rsid w:val="664807AE"/>
    <w:rsid w:val="66574DEB"/>
    <w:rsid w:val="66C13FB4"/>
    <w:rsid w:val="66D024FC"/>
    <w:rsid w:val="67044766"/>
    <w:rsid w:val="674544AA"/>
    <w:rsid w:val="678C4BA6"/>
    <w:rsid w:val="678D2E7C"/>
    <w:rsid w:val="67C1353F"/>
    <w:rsid w:val="67C47270"/>
    <w:rsid w:val="67D91D00"/>
    <w:rsid w:val="68AE5A1C"/>
    <w:rsid w:val="68C30827"/>
    <w:rsid w:val="690B1322"/>
    <w:rsid w:val="69BE209D"/>
    <w:rsid w:val="6A165814"/>
    <w:rsid w:val="6A4C248B"/>
    <w:rsid w:val="6A9E1BA6"/>
    <w:rsid w:val="6AAA304E"/>
    <w:rsid w:val="6ADA77C7"/>
    <w:rsid w:val="6AFE5858"/>
    <w:rsid w:val="6B0D68BD"/>
    <w:rsid w:val="6B176FF1"/>
    <w:rsid w:val="6B4F5D3F"/>
    <w:rsid w:val="6BF86E35"/>
    <w:rsid w:val="6CAD71C1"/>
    <w:rsid w:val="6CCE02F1"/>
    <w:rsid w:val="6D553D40"/>
    <w:rsid w:val="6D6F091A"/>
    <w:rsid w:val="6D82620B"/>
    <w:rsid w:val="6D9C0F37"/>
    <w:rsid w:val="6DD7212F"/>
    <w:rsid w:val="6E6813F7"/>
    <w:rsid w:val="6E9826AE"/>
    <w:rsid w:val="6EC22632"/>
    <w:rsid w:val="6ECE6ADE"/>
    <w:rsid w:val="6F467DC5"/>
    <w:rsid w:val="6FA86BD1"/>
    <w:rsid w:val="6FCA008A"/>
    <w:rsid w:val="70455963"/>
    <w:rsid w:val="70EE4247"/>
    <w:rsid w:val="70F62355"/>
    <w:rsid w:val="715C48A0"/>
    <w:rsid w:val="724F2AC9"/>
    <w:rsid w:val="728D010A"/>
    <w:rsid w:val="72936D00"/>
    <w:rsid w:val="72EC6F6A"/>
    <w:rsid w:val="73953BB6"/>
    <w:rsid w:val="73FE4ED9"/>
    <w:rsid w:val="74192817"/>
    <w:rsid w:val="747B4785"/>
    <w:rsid w:val="74887B7F"/>
    <w:rsid w:val="748B700A"/>
    <w:rsid w:val="74F6722B"/>
    <w:rsid w:val="75360DF7"/>
    <w:rsid w:val="75D7705D"/>
    <w:rsid w:val="75FD74D3"/>
    <w:rsid w:val="76090553"/>
    <w:rsid w:val="76184D46"/>
    <w:rsid w:val="76727B5C"/>
    <w:rsid w:val="767B4C5B"/>
    <w:rsid w:val="76922A8D"/>
    <w:rsid w:val="76AF1D88"/>
    <w:rsid w:val="77022ED6"/>
    <w:rsid w:val="77EF6671"/>
    <w:rsid w:val="78414C61"/>
    <w:rsid w:val="784833A0"/>
    <w:rsid w:val="79780BE2"/>
    <w:rsid w:val="7A545916"/>
    <w:rsid w:val="7A7371C1"/>
    <w:rsid w:val="7A777060"/>
    <w:rsid w:val="7AAC0793"/>
    <w:rsid w:val="7AE1506A"/>
    <w:rsid w:val="7AE17C27"/>
    <w:rsid w:val="7B5178B1"/>
    <w:rsid w:val="7B624C32"/>
    <w:rsid w:val="7B754CF8"/>
    <w:rsid w:val="7B772542"/>
    <w:rsid w:val="7BA20401"/>
    <w:rsid w:val="7BDD2EF3"/>
    <w:rsid w:val="7CCC5441"/>
    <w:rsid w:val="7DA050EB"/>
    <w:rsid w:val="7DA86897"/>
    <w:rsid w:val="7DD617D2"/>
    <w:rsid w:val="7E5C2F3C"/>
    <w:rsid w:val="7EBD10C4"/>
    <w:rsid w:val="7ECB45E5"/>
    <w:rsid w:val="7EFD1973"/>
    <w:rsid w:val="7EFFA9F7"/>
    <w:rsid w:val="7F4514DB"/>
    <w:rsid w:val="ADF8B7E3"/>
    <w:rsid w:val="E7FA7413"/>
    <w:rsid w:val="F4D0F49E"/>
    <w:rsid w:val="FB7F7F36"/>
    <w:rsid w:val="FFDF5FAB"/>
    <w:rsid w:val="FFFB52E1"/>
    <w:rsid w:val="FFFD1E5A"/>
    <w:rsid w:val="FFFEC3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qFormat="1" w:unhideWhenUsed="0" w:uiPriority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5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56"/>
    <w:qFormat/>
    <w:uiPriority w:val="0"/>
    <w:pPr>
      <w:keepNext/>
      <w:keepLines/>
      <w:spacing w:before="260" w:after="260" w:line="416" w:lineRule="auto"/>
      <w:ind w:firstLine="628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57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outlineLvl w:val="4"/>
    </w:pPr>
    <w:rPr>
      <w:rFonts w:ascii="宋体" w:hAnsi="Arial"/>
      <w:bCs/>
      <w:sz w:val="28"/>
    </w:rPr>
  </w:style>
  <w:style w:type="paragraph" w:styleId="7">
    <w:name w:val="heading 6"/>
    <w:basedOn w:val="1"/>
    <w:next w:val="1"/>
    <w:qFormat/>
    <w:uiPriority w:val="0"/>
    <w:pPr>
      <w:keepNext/>
      <w:autoSpaceDE w:val="0"/>
      <w:autoSpaceDN w:val="0"/>
      <w:adjustRightInd w:val="0"/>
      <w:spacing w:before="120" w:beforeLines="50" w:after="120" w:afterLines="50" w:line="300" w:lineRule="exact"/>
      <w:jc w:val="center"/>
      <w:outlineLvl w:val="5"/>
    </w:pPr>
    <w:rPr>
      <w:rFonts w:ascii="宋体" w:hAnsi="宋体"/>
      <w:kern w:val="0"/>
      <w:sz w:val="28"/>
    </w:rPr>
  </w:style>
  <w:style w:type="paragraph" w:styleId="8">
    <w:name w:val="heading 7"/>
    <w:basedOn w:val="1"/>
    <w:next w:val="1"/>
    <w:qFormat/>
    <w:uiPriority w:val="0"/>
    <w:pPr>
      <w:keepNext/>
      <w:keepLines/>
      <w:spacing w:before="240" w:after="64" w:line="320" w:lineRule="auto"/>
      <w:ind w:right="-24" w:rightChars="-10" w:firstLine="464" w:firstLineChars="225"/>
      <w:jc w:val="left"/>
      <w:outlineLvl w:val="6"/>
    </w:pPr>
    <w:rPr>
      <w:rFonts w:ascii="Arial" w:hAnsi="Arial" w:eastAsia="仿宋_GB2312" w:cs="Arial"/>
      <w:b/>
      <w:bCs/>
      <w:spacing w:val="-4"/>
      <w:sz w:val="24"/>
      <w:szCs w:val="24"/>
    </w:rPr>
  </w:style>
  <w:style w:type="paragraph" w:styleId="9">
    <w:name w:val="heading 8"/>
    <w:basedOn w:val="1"/>
    <w:next w:val="1"/>
    <w:link w:val="58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4"/>
    </w:rPr>
  </w:style>
  <w:style w:type="character" w:default="1" w:styleId="40">
    <w:name w:val="Default Paragraph Font"/>
    <w:semiHidden/>
    <w:qFormat/>
    <w:uiPriority w:val="0"/>
  </w:style>
  <w:style w:type="table" w:default="1" w:styleId="3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oc 7"/>
    <w:basedOn w:val="1"/>
    <w:next w:val="1"/>
    <w:semiHidden/>
    <w:qFormat/>
    <w:uiPriority w:val="0"/>
    <w:pPr>
      <w:ind w:left="1260"/>
      <w:jc w:val="left"/>
    </w:pPr>
    <w:rPr>
      <w:szCs w:val="21"/>
    </w:rPr>
  </w:style>
  <w:style w:type="paragraph" w:styleId="11">
    <w:name w:val="Document Map"/>
    <w:basedOn w:val="1"/>
    <w:semiHidden/>
    <w:qFormat/>
    <w:uiPriority w:val="0"/>
    <w:pPr>
      <w:shd w:val="clear" w:color="auto" w:fill="000080"/>
    </w:pPr>
  </w:style>
  <w:style w:type="paragraph" w:styleId="12">
    <w:name w:val="annotation text"/>
    <w:basedOn w:val="1"/>
    <w:link w:val="59"/>
    <w:semiHidden/>
    <w:qFormat/>
    <w:uiPriority w:val="0"/>
    <w:pPr>
      <w:jc w:val="left"/>
    </w:pPr>
  </w:style>
  <w:style w:type="paragraph" w:styleId="13">
    <w:name w:val="Body Text 3"/>
    <w:basedOn w:val="1"/>
    <w:qFormat/>
    <w:uiPriority w:val="0"/>
    <w:rPr>
      <w:rFonts w:ascii="黑体" w:hAnsi="Arial" w:eastAsia="黑体"/>
      <w:b/>
      <w:sz w:val="28"/>
    </w:rPr>
  </w:style>
  <w:style w:type="paragraph" w:styleId="14">
    <w:name w:val="Body Text"/>
    <w:basedOn w:val="1"/>
    <w:next w:val="15"/>
    <w:qFormat/>
    <w:uiPriority w:val="0"/>
    <w:rPr>
      <w:rFonts w:ascii="宋体" w:hAnsi="Arial"/>
      <w:sz w:val="28"/>
    </w:rPr>
  </w:style>
  <w:style w:type="paragraph" w:styleId="15">
    <w:name w:val="toc 2"/>
    <w:basedOn w:val="1"/>
    <w:next w:val="1"/>
    <w:qFormat/>
    <w:uiPriority w:val="39"/>
    <w:pPr>
      <w:ind w:left="210"/>
      <w:jc w:val="left"/>
    </w:pPr>
    <w:rPr>
      <w:smallCaps/>
      <w:sz w:val="24"/>
      <w:szCs w:val="24"/>
    </w:rPr>
  </w:style>
  <w:style w:type="paragraph" w:styleId="16">
    <w:name w:val="Body Text Indent"/>
    <w:basedOn w:val="1"/>
    <w:next w:val="17"/>
    <w:link w:val="60"/>
    <w:qFormat/>
    <w:uiPriority w:val="0"/>
    <w:pPr>
      <w:ind w:firstLine="645"/>
    </w:pPr>
    <w:rPr>
      <w:rFonts w:ascii="楷体_GB2312" w:eastAsia="楷体_GB2312"/>
      <w:sz w:val="32"/>
    </w:rPr>
  </w:style>
  <w:style w:type="paragraph" w:styleId="17">
    <w:name w:val="envelope return"/>
    <w:qFormat/>
    <w:uiPriority w:val="0"/>
    <w:pPr>
      <w:widowControl w:val="0"/>
      <w:snapToGrid w:val="0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paragraph" w:styleId="18">
    <w:name w:val="toc 5"/>
    <w:basedOn w:val="1"/>
    <w:next w:val="1"/>
    <w:semiHidden/>
    <w:qFormat/>
    <w:uiPriority w:val="0"/>
    <w:pPr>
      <w:ind w:left="840"/>
      <w:jc w:val="left"/>
    </w:pPr>
    <w:rPr>
      <w:szCs w:val="21"/>
    </w:rPr>
  </w:style>
  <w:style w:type="paragraph" w:styleId="19">
    <w:name w:val="toc 3"/>
    <w:basedOn w:val="1"/>
    <w:next w:val="1"/>
    <w:qFormat/>
    <w:uiPriority w:val="39"/>
    <w:pPr>
      <w:ind w:left="420"/>
      <w:jc w:val="left"/>
    </w:pPr>
    <w:rPr>
      <w:iCs/>
      <w:sz w:val="24"/>
      <w:szCs w:val="24"/>
    </w:rPr>
  </w:style>
  <w:style w:type="paragraph" w:styleId="20">
    <w:name w:val="Plain Text"/>
    <w:basedOn w:val="1"/>
    <w:link w:val="61"/>
    <w:qFormat/>
    <w:uiPriority w:val="0"/>
    <w:rPr>
      <w:rFonts w:ascii="宋体" w:hAnsi="Courier New"/>
    </w:rPr>
  </w:style>
  <w:style w:type="paragraph" w:styleId="21">
    <w:name w:val="toc 8"/>
    <w:basedOn w:val="1"/>
    <w:next w:val="1"/>
    <w:semiHidden/>
    <w:qFormat/>
    <w:uiPriority w:val="0"/>
    <w:pPr>
      <w:ind w:left="1470"/>
      <w:jc w:val="left"/>
    </w:pPr>
    <w:rPr>
      <w:szCs w:val="21"/>
    </w:rPr>
  </w:style>
  <w:style w:type="paragraph" w:styleId="22">
    <w:name w:val="Date"/>
    <w:basedOn w:val="1"/>
    <w:next w:val="1"/>
    <w:link w:val="62"/>
    <w:qFormat/>
    <w:uiPriority w:val="0"/>
    <w:rPr>
      <w:b/>
      <w:sz w:val="28"/>
    </w:rPr>
  </w:style>
  <w:style w:type="paragraph" w:styleId="23">
    <w:name w:val="Body Text Indent 2"/>
    <w:basedOn w:val="1"/>
    <w:qFormat/>
    <w:uiPriority w:val="0"/>
    <w:pPr>
      <w:ind w:left="630" w:firstLine="645"/>
    </w:pPr>
    <w:rPr>
      <w:rFonts w:ascii="Arial" w:hAnsi="Arial" w:eastAsia="仿宋_GB2312"/>
      <w:sz w:val="32"/>
    </w:rPr>
  </w:style>
  <w:style w:type="paragraph" w:styleId="24">
    <w:name w:val="Balloon Text"/>
    <w:basedOn w:val="1"/>
    <w:link w:val="63"/>
    <w:qFormat/>
    <w:uiPriority w:val="0"/>
    <w:rPr>
      <w:sz w:val="18"/>
      <w:szCs w:val="18"/>
    </w:rPr>
  </w:style>
  <w:style w:type="paragraph" w:styleId="2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7">
    <w:name w:val="toc 1"/>
    <w:basedOn w:val="1"/>
    <w:next w:val="1"/>
    <w:qFormat/>
    <w:uiPriority w:val="39"/>
    <w:pPr>
      <w:spacing w:before="120" w:after="120"/>
      <w:jc w:val="left"/>
    </w:pPr>
    <w:rPr>
      <w:caps/>
      <w:sz w:val="24"/>
      <w:szCs w:val="24"/>
    </w:rPr>
  </w:style>
  <w:style w:type="paragraph" w:styleId="28">
    <w:name w:val="toc 4"/>
    <w:basedOn w:val="1"/>
    <w:next w:val="1"/>
    <w:semiHidden/>
    <w:qFormat/>
    <w:uiPriority w:val="0"/>
    <w:pPr>
      <w:ind w:left="630"/>
      <w:jc w:val="left"/>
    </w:pPr>
    <w:rPr>
      <w:szCs w:val="21"/>
    </w:rPr>
  </w:style>
  <w:style w:type="paragraph" w:styleId="29">
    <w:name w:val="toc 6"/>
    <w:basedOn w:val="1"/>
    <w:next w:val="1"/>
    <w:semiHidden/>
    <w:qFormat/>
    <w:uiPriority w:val="0"/>
    <w:pPr>
      <w:ind w:left="1050"/>
      <w:jc w:val="left"/>
    </w:pPr>
    <w:rPr>
      <w:szCs w:val="21"/>
    </w:rPr>
  </w:style>
  <w:style w:type="paragraph" w:styleId="30">
    <w:name w:val="Body Text Indent 3"/>
    <w:basedOn w:val="1"/>
    <w:qFormat/>
    <w:uiPriority w:val="0"/>
    <w:pPr>
      <w:ind w:firstLine="645"/>
    </w:pPr>
    <w:rPr>
      <w:rFonts w:ascii="仿宋_GB2312" w:hAnsi="Arial" w:eastAsia="仿宋_GB2312"/>
      <w:color w:val="000000"/>
      <w:sz w:val="30"/>
    </w:rPr>
  </w:style>
  <w:style w:type="paragraph" w:styleId="31">
    <w:name w:val="toc 9"/>
    <w:basedOn w:val="1"/>
    <w:next w:val="1"/>
    <w:semiHidden/>
    <w:qFormat/>
    <w:uiPriority w:val="0"/>
    <w:pPr>
      <w:ind w:left="1680"/>
      <w:jc w:val="left"/>
    </w:pPr>
    <w:rPr>
      <w:szCs w:val="21"/>
    </w:rPr>
  </w:style>
  <w:style w:type="paragraph" w:styleId="32">
    <w:name w:val="Body Text 2"/>
    <w:basedOn w:val="1"/>
    <w:qFormat/>
    <w:uiPriority w:val="0"/>
    <w:rPr>
      <w:rFonts w:ascii="仿宋_GB2312" w:eastAsia="仿宋_GB2312"/>
      <w:b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34">
    <w:name w:val="index 1"/>
    <w:basedOn w:val="1"/>
    <w:next w:val="1"/>
    <w:semiHidden/>
    <w:qFormat/>
    <w:uiPriority w:val="0"/>
    <w:pPr>
      <w:jc w:val="center"/>
    </w:pPr>
    <w:rPr>
      <w:rFonts w:ascii="仿宋_GB2312" w:eastAsia="仿宋_GB2312"/>
      <w:b/>
      <w:bCs/>
      <w:sz w:val="28"/>
    </w:rPr>
  </w:style>
  <w:style w:type="paragraph" w:styleId="35">
    <w:name w:val="Title"/>
    <w:basedOn w:val="1"/>
    <w:next w:val="1"/>
    <w:link w:val="64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36">
    <w:name w:val="Body Text First Indent"/>
    <w:basedOn w:val="14"/>
    <w:next w:val="1"/>
    <w:qFormat/>
    <w:uiPriority w:val="0"/>
    <w:pPr>
      <w:autoSpaceDE w:val="0"/>
      <w:autoSpaceDN w:val="0"/>
      <w:adjustRightInd w:val="0"/>
      <w:spacing w:line="360" w:lineRule="auto"/>
      <w:ind w:right="-24" w:rightChars="-10" w:firstLine="425" w:firstLineChars="225"/>
    </w:pPr>
    <w:rPr>
      <w:rFonts w:ascii="Arial" w:hAnsi="Arial" w:eastAsia="仿宋_GB2312" w:cs="Arial"/>
      <w:kern w:val="0"/>
      <w:sz w:val="24"/>
      <w:szCs w:val="32"/>
    </w:rPr>
  </w:style>
  <w:style w:type="paragraph" w:styleId="37">
    <w:name w:val="Body Text First Indent 2"/>
    <w:qFormat/>
    <w:uiPriority w:val="99"/>
    <w:pPr>
      <w:widowControl w:val="0"/>
      <w:spacing w:line="48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8"/>
      <w:szCs w:val="20"/>
      <w:lang w:val="en-US" w:eastAsia="zh-CN" w:bidi="ar-SA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0"/>
    <w:rPr>
      <w:b/>
      <w:bCs/>
    </w:rPr>
  </w:style>
  <w:style w:type="character" w:styleId="42">
    <w:name w:val="page number"/>
    <w:basedOn w:val="40"/>
    <w:qFormat/>
    <w:uiPriority w:val="0"/>
  </w:style>
  <w:style w:type="character" w:styleId="43">
    <w:name w:val="FollowedHyperlink"/>
    <w:qFormat/>
    <w:uiPriority w:val="0"/>
    <w:rPr>
      <w:color w:val="800080"/>
      <w:u w:val="none"/>
    </w:rPr>
  </w:style>
  <w:style w:type="character" w:styleId="44">
    <w:name w:val="Emphasis"/>
    <w:qFormat/>
    <w:uiPriority w:val="0"/>
    <w:rPr>
      <w:color w:val="CC0033"/>
    </w:rPr>
  </w:style>
  <w:style w:type="character" w:styleId="45">
    <w:name w:val="HTML Definition"/>
    <w:qFormat/>
    <w:uiPriority w:val="0"/>
  </w:style>
  <w:style w:type="character" w:styleId="46">
    <w:name w:val="HTML Typewriter"/>
    <w:qFormat/>
    <w:uiPriority w:val="0"/>
    <w:rPr>
      <w:rFonts w:ascii="monospace" w:hAnsi="monospace" w:eastAsia="monospace" w:cs="monospace"/>
      <w:sz w:val="20"/>
    </w:rPr>
  </w:style>
  <w:style w:type="character" w:styleId="47">
    <w:name w:val="HTML Acronym"/>
    <w:qFormat/>
    <w:uiPriority w:val="0"/>
  </w:style>
  <w:style w:type="character" w:styleId="48">
    <w:name w:val="HTML Variable"/>
    <w:qFormat/>
    <w:uiPriority w:val="0"/>
  </w:style>
  <w:style w:type="character" w:styleId="49">
    <w:name w:val="Hyperlink"/>
    <w:qFormat/>
    <w:uiPriority w:val="99"/>
    <w:rPr>
      <w:color w:val="0000FF"/>
      <w:u w:val="none"/>
    </w:rPr>
  </w:style>
  <w:style w:type="character" w:styleId="50">
    <w:name w:val="HTML Code"/>
    <w:qFormat/>
    <w:uiPriority w:val="0"/>
    <w:rPr>
      <w:rFonts w:hint="default" w:ascii="monospace" w:hAnsi="monospace" w:eastAsia="monospace" w:cs="monospace"/>
      <w:sz w:val="20"/>
    </w:rPr>
  </w:style>
  <w:style w:type="character" w:styleId="51">
    <w:name w:val="annotation reference"/>
    <w:semiHidden/>
    <w:qFormat/>
    <w:uiPriority w:val="0"/>
    <w:rPr>
      <w:sz w:val="21"/>
      <w:szCs w:val="21"/>
    </w:rPr>
  </w:style>
  <w:style w:type="character" w:styleId="52">
    <w:name w:val="HTML Cite"/>
    <w:qFormat/>
    <w:uiPriority w:val="0"/>
  </w:style>
  <w:style w:type="character" w:styleId="53">
    <w:name w:val="HTML Keyboard"/>
    <w:qFormat/>
    <w:uiPriority w:val="0"/>
    <w:rPr>
      <w:rFonts w:hint="default" w:ascii="monospace" w:hAnsi="monospace" w:eastAsia="monospace" w:cs="monospace"/>
      <w:sz w:val="20"/>
    </w:rPr>
  </w:style>
  <w:style w:type="character" w:styleId="54">
    <w:name w:val="HTML Sample"/>
    <w:qFormat/>
    <w:uiPriority w:val="0"/>
    <w:rPr>
      <w:rFonts w:hint="default" w:ascii="monospace" w:hAnsi="monospace" w:eastAsia="monospace" w:cs="monospace"/>
    </w:rPr>
  </w:style>
  <w:style w:type="character" w:customStyle="1" w:styleId="55">
    <w:name w:val="标题 1 Char"/>
    <w:link w:val="2"/>
    <w:qFormat/>
    <w:uiPriority w:val="0"/>
    <w:rPr>
      <w:b/>
      <w:bCs/>
      <w:kern w:val="44"/>
      <w:sz w:val="30"/>
      <w:szCs w:val="44"/>
    </w:rPr>
  </w:style>
  <w:style w:type="character" w:customStyle="1" w:styleId="56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57">
    <w:name w:val="标题 3 Char"/>
    <w:link w:val="4"/>
    <w:qFormat/>
    <w:uiPriority w:val="0"/>
    <w:rPr>
      <w:rFonts w:ascii="宋体" w:eastAsia="宋体"/>
      <w:b/>
      <w:bCs/>
      <w:kern w:val="2"/>
      <w:sz w:val="32"/>
      <w:szCs w:val="32"/>
      <w:lang w:val="en-US" w:eastAsia="zh-CN" w:bidi="ar-SA"/>
    </w:rPr>
  </w:style>
  <w:style w:type="character" w:customStyle="1" w:styleId="58">
    <w:name w:val="标题 8 Char"/>
    <w:link w:val="9"/>
    <w:qFormat/>
    <w:uiPriority w:val="0"/>
    <w:rPr>
      <w:rFonts w:ascii="Arial" w:hAnsi="Arial" w:eastAsia="黑体"/>
      <w:kern w:val="2"/>
      <w:sz w:val="24"/>
      <w:szCs w:val="24"/>
      <w:lang w:val="en-US" w:eastAsia="zh-CN" w:bidi="ar-SA"/>
    </w:rPr>
  </w:style>
  <w:style w:type="character" w:customStyle="1" w:styleId="59">
    <w:name w:val="批注文字 Char"/>
    <w:link w:val="1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0">
    <w:name w:val="正文文本缩进 Char"/>
    <w:link w:val="16"/>
    <w:qFormat/>
    <w:uiPriority w:val="0"/>
    <w:rPr>
      <w:rFonts w:ascii="楷体_GB2312" w:eastAsia="楷体_GB2312"/>
      <w:kern w:val="2"/>
      <w:sz w:val="32"/>
      <w:lang w:val="en-US" w:eastAsia="zh-CN" w:bidi="ar-SA"/>
    </w:rPr>
  </w:style>
  <w:style w:type="character" w:customStyle="1" w:styleId="61">
    <w:name w:val="纯文本 Char"/>
    <w:link w:val="20"/>
    <w:qFormat/>
    <w:locked/>
    <w:uiPriority w:val="0"/>
    <w:rPr>
      <w:rFonts w:ascii="宋体" w:hAnsi="Courier New"/>
      <w:kern w:val="2"/>
      <w:sz w:val="21"/>
    </w:rPr>
  </w:style>
  <w:style w:type="character" w:customStyle="1" w:styleId="62">
    <w:name w:val="日期 Char"/>
    <w:link w:val="22"/>
    <w:qFormat/>
    <w:locked/>
    <w:uiPriority w:val="0"/>
    <w:rPr>
      <w:rFonts w:eastAsia="宋体"/>
      <w:b/>
      <w:kern w:val="2"/>
      <w:sz w:val="28"/>
      <w:lang w:val="en-US" w:eastAsia="zh-CN" w:bidi="ar-SA"/>
    </w:rPr>
  </w:style>
  <w:style w:type="character" w:customStyle="1" w:styleId="63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64">
    <w:name w:val="标题 Char"/>
    <w:link w:val="35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65">
    <w:name w:val="font21"/>
    <w:qFormat/>
    <w:uiPriority w:val="0"/>
    <w:rPr>
      <w:rFonts w:hint="eastAsia" w:ascii="宋体" w:hAnsi="宋体" w:eastAsia="宋体"/>
      <w:color w:val="3366FF"/>
      <w:sz w:val="24"/>
      <w:szCs w:val="24"/>
      <w:u w:val="none"/>
    </w:rPr>
  </w:style>
  <w:style w:type="character" w:customStyle="1" w:styleId="66">
    <w:name w:val="15"/>
    <w:qFormat/>
    <w:uiPriority w:val="0"/>
    <w:rPr>
      <w:rFonts w:hint="default" w:ascii="Times New Roman" w:hAnsi="Times New Roman" w:cs="Times New Roman"/>
      <w:b/>
      <w:kern w:val="44"/>
      <w:sz w:val="30"/>
      <w:szCs w:val="30"/>
    </w:rPr>
  </w:style>
  <w:style w:type="paragraph" w:customStyle="1" w:styleId="6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68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32"/>
      <w:szCs w:val="32"/>
    </w:rPr>
  </w:style>
  <w:style w:type="paragraph" w:customStyle="1" w:styleId="69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hint="eastAsia" w:ascii="幼圆" w:hAnsi="宋体" w:eastAsia="幼圆"/>
      <w:kern w:val="0"/>
      <w:sz w:val="32"/>
      <w:szCs w:val="32"/>
    </w:rPr>
  </w:style>
  <w:style w:type="paragraph" w:customStyle="1" w:styleId="70">
    <w:name w:val="文章正文"/>
    <w:basedOn w:val="1"/>
    <w:qFormat/>
    <w:uiPriority w:val="0"/>
    <w:pPr>
      <w:numPr>
        <w:ilvl w:val="1"/>
        <w:numId w:val="1"/>
      </w:numPr>
      <w:spacing w:beforeLines="50" w:afterLines="50" w:line="320" w:lineRule="exact"/>
      <w:ind w:left="0" w:firstLine="200" w:firstLineChars="200"/>
    </w:pPr>
    <w:rPr>
      <w:rFonts w:ascii="仿宋_GB2312" w:eastAsia="仿宋_GB2312"/>
      <w:sz w:val="28"/>
      <w:szCs w:val="24"/>
    </w:rPr>
  </w:style>
  <w:style w:type="paragraph" w:customStyle="1" w:styleId="71">
    <w:name w:val="Char Char 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72">
    <w:name w:val="SUR-需求定义-第4级"/>
    <w:basedOn w:val="5"/>
    <w:next w:val="1"/>
    <w:qFormat/>
    <w:uiPriority w:val="0"/>
    <w:pPr>
      <w:numPr>
        <w:ilvl w:val="3"/>
        <w:numId w:val="2"/>
      </w:numPr>
      <w:tabs>
        <w:tab w:val="left" w:pos="1080"/>
        <w:tab w:val="clear" w:pos="2934"/>
      </w:tabs>
      <w:spacing w:before="0" w:after="0"/>
      <w:ind w:left="-283" w:firstLine="283"/>
      <w:jc w:val="left"/>
    </w:pPr>
    <w:rPr>
      <w:rFonts w:cs="Arial"/>
      <w:b w:val="0"/>
      <w:color w:val="0000FF"/>
      <w:sz w:val="24"/>
      <w:szCs w:val="24"/>
    </w:rPr>
  </w:style>
  <w:style w:type="paragraph" w:customStyle="1" w:styleId="73">
    <w:name w:val="基本文字 Char"/>
    <w:basedOn w:val="1"/>
    <w:qFormat/>
    <w:uiPriority w:val="0"/>
    <w:pPr>
      <w:spacing w:before="156" w:line="400" w:lineRule="atLeast"/>
      <w:ind w:firstLine="540" w:firstLineChars="225"/>
    </w:pPr>
    <w:rPr>
      <w:sz w:val="24"/>
    </w:rPr>
  </w:style>
  <w:style w:type="paragraph" w:customStyle="1" w:styleId="74">
    <w:name w:val="样式1"/>
    <w:basedOn w:val="1"/>
    <w:qFormat/>
    <w:uiPriority w:val="0"/>
    <w:pPr>
      <w:numPr>
        <w:ilvl w:val="0"/>
        <w:numId w:val="3"/>
      </w:numPr>
      <w:adjustRightInd w:val="0"/>
      <w:textAlignment w:val="baseline"/>
    </w:pPr>
    <w:rPr>
      <w:rFonts w:ascii="宋体" w:hAnsi="宋体"/>
      <w:kern w:val="0"/>
    </w:rPr>
  </w:style>
  <w:style w:type="paragraph" w:customStyle="1" w:styleId="75">
    <w:name w:val="D&amp;L"/>
    <w:basedOn w:val="26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</w:rPr>
  </w:style>
  <w:style w:type="paragraph" w:customStyle="1" w:styleId="76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幼圆" w:hAnsi="宋体" w:eastAsia="幼圆"/>
      <w:kern w:val="0"/>
      <w:sz w:val="32"/>
      <w:szCs w:val="32"/>
    </w:rPr>
  </w:style>
  <w:style w:type="paragraph" w:styleId="77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78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幼圆" w:hAnsi="宋体" w:eastAsia="幼圆"/>
      <w:kern w:val="0"/>
      <w:sz w:val="32"/>
      <w:szCs w:val="32"/>
    </w:rPr>
  </w:style>
  <w:style w:type="paragraph" w:customStyle="1" w:styleId="79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80">
    <w:name w:val="_Style 8"/>
    <w:basedOn w:val="1"/>
    <w:qFormat/>
    <w:uiPriority w:val="0"/>
  </w:style>
  <w:style w:type="paragraph" w:customStyle="1" w:styleId="81">
    <w:name w:val="Char"/>
    <w:basedOn w:val="1"/>
    <w:qFormat/>
    <w:uiPriority w:val="0"/>
    <w:rPr>
      <w:rFonts w:ascii="Tahoma" w:hAnsi="Tahoma"/>
      <w:sz w:val="24"/>
    </w:rPr>
  </w:style>
  <w:style w:type="paragraph" w:customStyle="1" w:styleId="82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32"/>
      <w:szCs w:val="32"/>
    </w:rPr>
  </w:style>
  <w:style w:type="paragraph" w:customStyle="1" w:styleId="83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32"/>
      <w:szCs w:val="32"/>
    </w:rPr>
  </w:style>
  <w:style w:type="paragraph" w:customStyle="1" w:styleId="84">
    <w:name w:val="正文_0"/>
    <w:qFormat/>
    <w:uiPriority w:val="0"/>
    <w:pPr>
      <w:widowControl w:val="0"/>
      <w:jc w:val="both"/>
    </w:pPr>
    <w:rPr>
      <w:rFonts w:ascii="Tahoma" w:hAnsi="Tahoma" w:eastAsia="宋体" w:cs="Tahoma"/>
      <w:kern w:val="2"/>
      <w:sz w:val="21"/>
      <w:szCs w:val="22"/>
      <w:lang w:val="en-US" w:eastAsia="zh-CN" w:bidi="ar-SA"/>
    </w:rPr>
  </w:style>
  <w:style w:type="paragraph" w:customStyle="1" w:styleId="85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hint="eastAsia" w:ascii="幼圆" w:hAnsi="宋体" w:eastAsia="幼圆"/>
      <w:kern w:val="0"/>
      <w:sz w:val="32"/>
      <w:szCs w:val="32"/>
    </w:rPr>
  </w:style>
  <w:style w:type="paragraph" w:customStyle="1" w:styleId="86">
    <w:name w:val="正文（缩进）"/>
    <w:basedOn w:val="1"/>
    <w:qFormat/>
    <w:uiPriority w:val="0"/>
    <w:pPr>
      <w:widowControl/>
      <w:spacing w:before="156" w:after="156"/>
      <w:ind w:firstLine="480" w:firstLineChars="200"/>
      <w:jc w:val="left"/>
    </w:pPr>
    <w:rPr>
      <w:rFonts w:ascii="仿宋_GB2312" w:eastAsia="仿宋_GB2312"/>
      <w:kern w:val="0"/>
      <w:sz w:val="24"/>
      <w:szCs w:val="24"/>
    </w:rPr>
  </w:style>
  <w:style w:type="paragraph" w:customStyle="1" w:styleId="87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88">
    <w:name w:val="二级标题"/>
    <w:basedOn w:val="1"/>
    <w:next w:val="70"/>
    <w:qFormat/>
    <w:uiPriority w:val="0"/>
    <w:pPr>
      <w:numPr>
        <w:ilvl w:val="0"/>
        <w:numId w:val="1"/>
      </w:numPr>
      <w:tabs>
        <w:tab w:val="left" w:pos="992"/>
        <w:tab w:val="clear" w:pos="425"/>
      </w:tabs>
      <w:ind w:left="992" w:hanging="567"/>
      <w:outlineLvl w:val="1"/>
    </w:pPr>
    <w:rPr>
      <w:rFonts w:ascii="黑体" w:eastAsia="黑体"/>
      <w:sz w:val="28"/>
      <w:szCs w:val="24"/>
    </w:rPr>
  </w:style>
  <w:style w:type="paragraph" w:customStyle="1" w:styleId="89">
    <w:name w:val="一级标题"/>
    <w:basedOn w:val="1"/>
    <w:next w:val="88"/>
    <w:qFormat/>
    <w:uiPriority w:val="0"/>
    <w:pPr>
      <w:numPr>
        <w:ilvl w:val="2"/>
        <w:numId w:val="1"/>
      </w:numPr>
      <w:tabs>
        <w:tab w:val="left" w:pos="425"/>
      </w:tabs>
      <w:spacing w:afterLines="100"/>
      <w:ind w:left="850" w:hanging="425"/>
      <w:outlineLvl w:val="0"/>
    </w:pPr>
    <w:rPr>
      <w:rFonts w:ascii="黑体" w:eastAsia="黑体"/>
      <w:sz w:val="30"/>
      <w:szCs w:val="28"/>
    </w:rPr>
  </w:style>
  <w:style w:type="paragraph" w:customStyle="1" w:styleId="90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28"/>
      <w:szCs w:val="28"/>
    </w:rPr>
  </w:style>
  <w:style w:type="table" w:customStyle="1" w:styleId="91">
    <w:name w:val="Table Normal"/>
    <w:unhideWhenUsed/>
    <w:qFormat/>
    <w:uiPriority w:val="0"/>
    <w:rPr>
      <w:rFonts w:ascii="Arial" w:hAnsi="Arial" w:cs="Arial"/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2">
    <w:name w:val="bg02"/>
    <w:basedOn w:val="40"/>
    <w:qFormat/>
    <w:uiPriority w:val="0"/>
  </w:style>
  <w:style w:type="character" w:customStyle="1" w:styleId="93">
    <w:name w:val="active&gt;i"/>
    <w:basedOn w:val="40"/>
    <w:qFormat/>
    <w:uiPriority w:val="0"/>
  </w:style>
  <w:style w:type="character" w:customStyle="1" w:styleId="94">
    <w:name w:val="bg01"/>
    <w:basedOn w:val="40"/>
    <w:qFormat/>
    <w:uiPriority w:val="0"/>
  </w:style>
  <w:style w:type="character" w:customStyle="1" w:styleId="95">
    <w:name w:val="noline"/>
    <w:basedOn w:val="40"/>
    <w:qFormat/>
    <w:uiPriority w:val="0"/>
  </w:style>
  <w:style w:type="character" w:customStyle="1" w:styleId="96">
    <w:name w:val="laypage_curr"/>
    <w:basedOn w:val="40"/>
    <w:qFormat/>
    <w:uiPriority w:val="0"/>
    <w:rPr>
      <w:color w:val="FFFDF4"/>
      <w:sz w:val="42"/>
      <w:szCs w:val="42"/>
      <w:shd w:val="clear" w:color="auto" w:fill="0B67A6"/>
    </w:rPr>
  </w:style>
  <w:style w:type="character" w:customStyle="1" w:styleId="97">
    <w:name w:val="font"/>
    <w:basedOn w:val="40"/>
    <w:qFormat/>
    <w:uiPriority w:val="0"/>
  </w:style>
  <w:style w:type="character" w:customStyle="1" w:styleId="98">
    <w:name w:val="font1"/>
    <w:basedOn w:val="40"/>
    <w:qFormat/>
    <w:uiPriority w:val="0"/>
  </w:style>
  <w:style w:type="character" w:customStyle="1" w:styleId="99">
    <w:name w:val="on4"/>
    <w:basedOn w:val="40"/>
    <w:qFormat/>
    <w:uiPriority w:val="0"/>
    <w:rPr>
      <w:color w:val="FFFFFF"/>
      <w:shd w:val="clear" w:color="auto" w:fill="0B67A6"/>
    </w:rPr>
  </w:style>
  <w:style w:type="character" w:customStyle="1" w:styleId="100">
    <w:name w:val="on5"/>
    <w:basedOn w:val="40"/>
    <w:qFormat/>
    <w:uiPriority w:val="0"/>
    <w:rPr>
      <w:b/>
      <w:bCs/>
      <w:color w:val="015293"/>
    </w:rPr>
  </w:style>
  <w:style w:type="character" w:customStyle="1" w:styleId="101">
    <w:name w:val="place"/>
    <w:basedOn w:val="40"/>
    <w:qFormat/>
    <w:uiPriority w:val="0"/>
    <w:rPr>
      <w:rFonts w:ascii="微软雅黑" w:hAnsi="微软雅黑" w:eastAsia="微软雅黑" w:cs="微软雅黑"/>
      <w:color w:val="888888"/>
      <w:sz w:val="25"/>
      <w:szCs w:val="25"/>
    </w:rPr>
  </w:style>
  <w:style w:type="character" w:customStyle="1" w:styleId="102">
    <w:name w:val="place1"/>
    <w:basedOn w:val="40"/>
    <w:qFormat/>
    <w:uiPriority w:val="0"/>
  </w:style>
  <w:style w:type="character" w:customStyle="1" w:styleId="103">
    <w:name w:val="place2"/>
    <w:basedOn w:val="40"/>
    <w:qFormat/>
    <w:uiPriority w:val="0"/>
  </w:style>
  <w:style w:type="character" w:customStyle="1" w:styleId="104">
    <w:name w:val="place3"/>
    <w:basedOn w:val="40"/>
    <w:qFormat/>
    <w:uiPriority w:val="0"/>
  </w:style>
  <w:style w:type="character" w:customStyle="1" w:styleId="105">
    <w:name w:val="tabg"/>
    <w:basedOn w:val="40"/>
    <w:qFormat/>
    <w:uiPriority w:val="0"/>
    <w:rPr>
      <w:color w:val="FFFFFF"/>
      <w:sz w:val="27"/>
      <w:szCs w:val="27"/>
    </w:rPr>
  </w:style>
  <w:style w:type="character" w:customStyle="1" w:styleId="106">
    <w:name w:val="font-zyygwj"/>
    <w:basedOn w:val="40"/>
    <w:qFormat/>
    <w:uiPriority w:val="0"/>
  </w:style>
  <w:style w:type="character" w:customStyle="1" w:styleId="107">
    <w:name w:val="font-zyygwj1"/>
    <w:basedOn w:val="40"/>
    <w:qFormat/>
    <w:uiPriority w:val="0"/>
  </w:style>
  <w:style w:type="character" w:customStyle="1" w:styleId="108">
    <w:name w:val="hover15"/>
    <w:basedOn w:val="40"/>
    <w:qFormat/>
    <w:uiPriority w:val="0"/>
    <w:rPr>
      <w:color w:val="025291"/>
    </w:rPr>
  </w:style>
  <w:style w:type="character" w:customStyle="1" w:styleId="109">
    <w:name w:val="font_gjgzk"/>
    <w:basedOn w:val="40"/>
    <w:qFormat/>
    <w:uiPriority w:val="0"/>
  </w:style>
  <w:style w:type="character" w:customStyle="1" w:styleId="110">
    <w:name w:val="on6"/>
    <w:basedOn w:val="40"/>
    <w:qFormat/>
    <w:uiPriority w:val="0"/>
    <w:rPr>
      <w:b/>
      <w:bCs/>
      <w:color w:val="015293"/>
    </w:rPr>
  </w:style>
  <w:style w:type="paragraph" w:customStyle="1" w:styleId="111">
    <w:name w:val="_Style 2"/>
    <w:qFormat/>
    <w:uiPriority w:val="0"/>
    <w:pPr>
      <w:widowControl w:val="0"/>
      <w:spacing w:line="351" w:lineRule="atLeast"/>
      <w:ind w:firstLine="623"/>
      <w:jc w:val="both"/>
      <w:textAlignment w:val="baseline"/>
    </w:pPr>
    <w:rPr>
      <w:rFonts w:ascii="Times New Roman" w:hAnsi="Times New Roman" w:eastAsia="宋体" w:cs="Times New Roman"/>
      <w:color w:val="000000"/>
      <w:kern w:val="2"/>
      <w:sz w:val="31"/>
      <w:szCs w:val="3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14</Pages>
  <Words>16923</Words>
  <Characters>18318</Characters>
  <Lines>250</Lines>
  <Paragraphs>70</Paragraphs>
  <TotalTime>96</TotalTime>
  <ScaleCrop>false</ScaleCrop>
  <LinksUpToDate>false</LinksUpToDate>
  <CharactersWithSpaces>18995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2019-07-30T10:27:00Z</dcterms:created>
  <dc:creator>Administrator</dc:creator>
  <cp:lastModifiedBy>ASUS</cp:lastModifiedBy>
  <cp:lastPrinted>2016-09-08T01:42:00Z</cp:lastPrinted>
  <dcterms:modified xsi:type="dcterms:W3CDTF">2026-03-04T07:17:23Z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EE3BBC8DBBF04AE8AB9A1888E958483E_13</vt:lpwstr>
  </property>
  <property fmtid="{D5CDD505-2E9C-101B-9397-08002B2CF9AE}" pid="4" name="KSOTemplateDocerSaveRecord">
    <vt:lpwstr>eyJoZGlkIjoiYjJjOTQxYzhjODMyMDAzZmE0MDJkMWFkNmJlNDkwYTUiLCJ1c2VySWQiOiIyNTYzODM1NTMifQ==</vt:lpwstr>
  </property>
</Properties>
</file>