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AC4364">
      <w:pPr>
        <w:numPr>
          <w:ilvl w:val="255"/>
          <w:numId w:val="0"/>
        </w:numPr>
        <w:spacing w:before="120" w:beforeLines="50" w:after="120" w:afterLines="50" w:line="560" w:lineRule="exact"/>
        <w:jc w:val="center"/>
        <w:rPr>
          <w:rStyle w:val="35"/>
          <w:rFonts w:ascii="宋体" w:hAnsi="宋体" w:eastAsia="宋体" w:cs="宋体"/>
          <w:color w:val="auto"/>
          <w:sz w:val="24"/>
          <w:szCs w:val="24"/>
          <w:highlight w:val="none"/>
        </w:rPr>
      </w:pPr>
      <w:bookmarkStart w:id="1" w:name="_GoBack"/>
      <w:bookmarkStart w:id="0" w:name="_Toc2581"/>
      <w:r>
        <w:rPr>
          <w:rStyle w:val="35"/>
          <w:rFonts w:hint="eastAsia" w:ascii="宋体" w:hAnsi="宋体" w:eastAsia="宋体" w:cs="宋体"/>
          <w:color w:val="auto"/>
          <w:sz w:val="32"/>
          <w:szCs w:val="32"/>
          <w:highlight w:val="none"/>
        </w:rPr>
        <w:t>第五章</w:t>
      </w:r>
      <w:r>
        <w:rPr>
          <w:rStyle w:val="35"/>
          <w:rFonts w:hint="eastAsia" w:ascii="宋体" w:hAnsi="宋体" w:cs="宋体"/>
          <w:color w:val="auto"/>
          <w:sz w:val="32"/>
          <w:szCs w:val="32"/>
          <w:highlight w:val="none"/>
        </w:rPr>
        <w:t xml:space="preserve">  </w:t>
      </w:r>
      <w:r>
        <w:rPr>
          <w:rStyle w:val="35"/>
          <w:rFonts w:hint="eastAsia" w:ascii="宋体" w:hAnsi="宋体" w:eastAsia="宋体" w:cs="宋体"/>
          <w:color w:val="auto"/>
          <w:sz w:val="32"/>
          <w:szCs w:val="32"/>
          <w:highlight w:val="none"/>
        </w:rPr>
        <w:t>采购需求</w:t>
      </w:r>
    </w:p>
    <w:bookmarkEnd w:id="0"/>
    <w:p w14:paraId="6B68CCFE">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2" w:firstLineChars="200"/>
        <w:jc w:val="left"/>
        <w:textAlignment w:val="auto"/>
        <w:outlineLvl w:val="9"/>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一、采购清单：</w:t>
      </w:r>
    </w:p>
    <w:tbl>
      <w:tblPr>
        <w:tblStyle w:val="21"/>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6"/>
        <w:gridCol w:w="956"/>
        <w:gridCol w:w="981"/>
        <w:gridCol w:w="1245"/>
        <w:gridCol w:w="2810"/>
        <w:gridCol w:w="1369"/>
      </w:tblGrid>
      <w:tr w14:paraId="1FBF6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2056" w:type="dxa"/>
            <w:noWrap w:val="0"/>
            <w:vAlign w:val="center"/>
          </w:tcPr>
          <w:p w14:paraId="53B580ED">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产品名称</w:t>
            </w:r>
          </w:p>
        </w:tc>
        <w:tc>
          <w:tcPr>
            <w:tcW w:w="956" w:type="dxa"/>
            <w:noWrap w:val="0"/>
            <w:vAlign w:val="center"/>
          </w:tcPr>
          <w:p w14:paraId="0A4D923C">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数量</w:t>
            </w:r>
          </w:p>
        </w:tc>
        <w:tc>
          <w:tcPr>
            <w:tcW w:w="981" w:type="dxa"/>
            <w:noWrap w:val="0"/>
            <w:vAlign w:val="center"/>
          </w:tcPr>
          <w:p w14:paraId="01B3ED08">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单位</w:t>
            </w:r>
          </w:p>
        </w:tc>
        <w:tc>
          <w:tcPr>
            <w:tcW w:w="1245" w:type="dxa"/>
            <w:noWrap w:val="0"/>
            <w:vAlign w:val="center"/>
          </w:tcPr>
          <w:p w14:paraId="567F68A4">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限价</w:t>
            </w:r>
          </w:p>
          <w:p w14:paraId="4B0F72AA">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（元/个）</w:t>
            </w:r>
          </w:p>
        </w:tc>
        <w:tc>
          <w:tcPr>
            <w:tcW w:w="2810" w:type="dxa"/>
            <w:noWrap w:val="0"/>
            <w:vAlign w:val="center"/>
          </w:tcPr>
          <w:p w14:paraId="122BE670">
            <w:pPr>
              <w:spacing w:line="340" w:lineRule="exact"/>
              <w:jc w:val="center"/>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highlight w:val="none"/>
                <w:lang w:val="en-US" w:eastAsia="zh-CN"/>
              </w:rPr>
              <w:t>使用范围</w:t>
            </w:r>
          </w:p>
        </w:tc>
        <w:tc>
          <w:tcPr>
            <w:tcW w:w="1369" w:type="dxa"/>
            <w:noWrap w:val="0"/>
            <w:vAlign w:val="center"/>
          </w:tcPr>
          <w:p w14:paraId="013D5C4A">
            <w:pPr>
              <w:spacing w:line="340" w:lineRule="exact"/>
              <w:jc w:val="center"/>
              <w:rPr>
                <w:rFonts w:hint="eastAsia" w:ascii="宋体" w:hAnsi="宋体" w:eastAsia="宋体" w:cs="宋体"/>
                <w:b/>
                <w:bCs/>
                <w:color w:val="auto"/>
                <w:sz w:val="24"/>
                <w:szCs w:val="24"/>
                <w:vertAlign w:val="baseline"/>
                <w:lang w:val="en-US" w:eastAsia="zh-CN"/>
              </w:rPr>
            </w:pPr>
            <w:r>
              <w:rPr>
                <w:rFonts w:hint="eastAsia" w:ascii="宋体" w:hAnsi="宋体" w:cs="宋体"/>
                <w:b/>
                <w:bCs/>
                <w:color w:val="auto"/>
                <w:sz w:val="24"/>
                <w:szCs w:val="24"/>
                <w:highlight w:val="none"/>
                <w:lang w:val="en-US" w:eastAsia="zh-CN"/>
              </w:rPr>
              <w:t>注册证号</w:t>
            </w:r>
          </w:p>
        </w:tc>
      </w:tr>
      <w:tr w14:paraId="4B5FD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4" w:hRule="atLeast"/>
        </w:trPr>
        <w:tc>
          <w:tcPr>
            <w:tcW w:w="2056" w:type="dxa"/>
            <w:noWrap w:val="0"/>
            <w:vAlign w:val="center"/>
          </w:tcPr>
          <w:p w14:paraId="2C364FE5">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一次性磨钻头（DGB40UA120</w:t>
            </w:r>
            <w:r>
              <w:rPr>
                <w:rFonts w:hint="eastAsia" w:ascii="宋体" w:hAnsi="宋体" w:cs="宋体"/>
                <w:b w:val="0"/>
                <w:bCs w:val="0"/>
                <w:color w:val="auto"/>
                <w:sz w:val="24"/>
                <w:szCs w:val="24"/>
                <w:vertAlign w:val="baseline"/>
                <w:lang w:val="en-US" w:eastAsia="zh-CN"/>
              </w:rPr>
              <w:t>、</w:t>
            </w:r>
            <w:r>
              <w:rPr>
                <w:rFonts w:hint="eastAsia" w:ascii="宋体" w:hAnsi="宋体" w:eastAsia="宋体" w:cs="宋体"/>
                <w:b w:val="0"/>
                <w:bCs w:val="0"/>
                <w:color w:val="auto"/>
                <w:sz w:val="24"/>
                <w:szCs w:val="24"/>
                <w:vertAlign w:val="baseline"/>
                <w:lang w:val="en-US" w:eastAsia="zh-CN"/>
              </w:rPr>
              <w:t>DGB30UA120）</w:t>
            </w:r>
          </w:p>
        </w:tc>
        <w:tc>
          <w:tcPr>
            <w:tcW w:w="956" w:type="dxa"/>
            <w:noWrap w:val="0"/>
            <w:vAlign w:val="center"/>
          </w:tcPr>
          <w:p w14:paraId="19044EC0">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default" w:ascii="宋体" w:hAnsi="宋体" w:eastAsia="宋体" w:cs="宋体"/>
                <w:b w:val="0"/>
                <w:bCs w:val="0"/>
                <w:color w:val="auto"/>
                <w:sz w:val="24"/>
                <w:szCs w:val="24"/>
                <w:vertAlign w:val="baseline"/>
                <w:lang w:val="en-US" w:eastAsia="zh-CN"/>
              </w:rPr>
            </w:pPr>
            <w:r>
              <w:rPr>
                <w:rFonts w:hint="eastAsia" w:ascii="宋体" w:hAnsi="宋体" w:cs="宋体"/>
                <w:b w:val="0"/>
                <w:bCs w:val="0"/>
                <w:color w:val="auto"/>
                <w:sz w:val="24"/>
                <w:szCs w:val="24"/>
                <w:vertAlign w:val="baseline"/>
                <w:lang w:val="en-US" w:eastAsia="zh-CN"/>
              </w:rPr>
              <w:t>60</w:t>
            </w:r>
          </w:p>
        </w:tc>
        <w:tc>
          <w:tcPr>
            <w:tcW w:w="981" w:type="dxa"/>
            <w:noWrap w:val="0"/>
            <w:vAlign w:val="center"/>
          </w:tcPr>
          <w:p w14:paraId="42535AE5">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个</w:t>
            </w:r>
          </w:p>
        </w:tc>
        <w:tc>
          <w:tcPr>
            <w:tcW w:w="1245" w:type="dxa"/>
            <w:noWrap w:val="0"/>
            <w:vAlign w:val="center"/>
          </w:tcPr>
          <w:p w14:paraId="0DC14E14">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2500</w:t>
            </w:r>
          </w:p>
        </w:tc>
        <w:tc>
          <w:tcPr>
            <w:tcW w:w="2810" w:type="dxa"/>
            <w:noWrap w:val="0"/>
            <w:vAlign w:val="center"/>
          </w:tcPr>
          <w:p w14:paraId="57DB1663">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适用于神经外科、耳鼻喉科、骨科或其它外科手术中对人体骨组织和（或）软组织的磨削处理。</w:t>
            </w:r>
          </w:p>
        </w:tc>
        <w:tc>
          <w:tcPr>
            <w:tcW w:w="1369" w:type="dxa"/>
            <w:noWrap w:val="0"/>
            <w:vAlign w:val="center"/>
          </w:tcPr>
          <w:p w14:paraId="05A35CB1">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苏械注准20202041233</w:t>
            </w:r>
          </w:p>
        </w:tc>
      </w:tr>
    </w:tbl>
    <w:p w14:paraId="7D4E292A">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2"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bCs/>
          <w:color w:val="auto"/>
          <w:sz w:val="24"/>
          <w:szCs w:val="24"/>
          <w:lang w:val="en-US" w:eastAsia="zh-CN"/>
        </w:rPr>
        <w:t>注：</w:t>
      </w:r>
      <w:r>
        <w:rPr>
          <w:rFonts w:hint="eastAsia" w:ascii="宋体" w:hAnsi="宋体" w:eastAsia="宋体" w:cs="宋体"/>
          <w:b w:val="0"/>
          <w:bCs w:val="0"/>
          <w:color w:val="auto"/>
          <w:sz w:val="24"/>
          <w:szCs w:val="24"/>
          <w:lang w:val="en-US" w:eastAsia="zh-CN"/>
        </w:rPr>
        <w:t>1.供应商响应文件中投标单价高于单价限价的，响应资格无效。</w:t>
      </w:r>
    </w:p>
    <w:p w14:paraId="2E78B837">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w:t>
      </w:r>
      <w:r>
        <w:rPr>
          <w:rFonts w:hint="eastAsia" w:ascii="宋体" w:hAnsi="宋体" w:cs="宋体"/>
          <w:b w:val="0"/>
          <w:bCs w:val="0"/>
          <w:color w:val="auto"/>
          <w:sz w:val="24"/>
          <w:szCs w:val="24"/>
          <w:lang w:val="en-US" w:eastAsia="zh-CN"/>
        </w:rPr>
        <w:t>2</w:t>
      </w:r>
      <w:r>
        <w:rPr>
          <w:rFonts w:hint="eastAsia" w:ascii="宋体" w:hAnsi="宋体" w:eastAsia="宋体" w:cs="宋体"/>
          <w:b w:val="0"/>
          <w:bCs w:val="0"/>
          <w:color w:val="auto"/>
          <w:sz w:val="24"/>
          <w:szCs w:val="24"/>
          <w:lang w:val="en-US" w:eastAsia="zh-CN"/>
        </w:rPr>
        <w:t>.需满足与采购人在用UBE手术动力系统（江苏邦士，型号：RIC22）配套使用</w:t>
      </w:r>
      <w:r>
        <w:rPr>
          <w:rFonts w:hint="eastAsia" w:ascii="宋体" w:hAnsi="宋体" w:eastAsia="宋体" w:cs="宋体"/>
          <w:b/>
          <w:bCs/>
          <w:color w:val="auto"/>
          <w:sz w:val="24"/>
          <w:szCs w:val="24"/>
          <w:lang w:val="en-US" w:eastAsia="zh-CN"/>
        </w:rPr>
        <w:t>(响应文件中提供承诺函，格式自拟)</w:t>
      </w:r>
      <w:r>
        <w:rPr>
          <w:rFonts w:hint="eastAsia" w:ascii="宋体" w:hAnsi="宋体" w:eastAsia="宋体" w:cs="宋体"/>
          <w:b w:val="0"/>
          <w:bCs w:val="0"/>
          <w:color w:val="auto"/>
          <w:sz w:val="24"/>
          <w:szCs w:val="24"/>
          <w:lang w:val="en-US" w:eastAsia="zh-CN"/>
        </w:rPr>
        <w:t>。</w:t>
      </w:r>
    </w:p>
    <w:p w14:paraId="25745625">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3</w:t>
      </w:r>
      <w:r>
        <w:rPr>
          <w:rFonts w:hint="eastAsia" w:ascii="宋体" w:hAnsi="宋体" w:eastAsia="宋体" w:cs="宋体"/>
          <w:b w:val="0"/>
          <w:bCs w:val="0"/>
          <w:color w:val="auto"/>
          <w:sz w:val="24"/>
          <w:szCs w:val="24"/>
          <w:lang w:val="en-US" w:eastAsia="zh-CN"/>
        </w:rPr>
        <w:t>.其他要求：</w:t>
      </w:r>
    </w:p>
    <w:p w14:paraId="7046B00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3</w:t>
      </w:r>
      <w:r>
        <w:rPr>
          <w:rFonts w:hint="eastAsia" w:ascii="宋体" w:hAnsi="宋体" w:eastAsia="宋体" w:cs="宋体"/>
          <w:b w:val="0"/>
          <w:bCs w:val="0"/>
          <w:color w:val="auto"/>
          <w:sz w:val="24"/>
          <w:szCs w:val="24"/>
          <w:lang w:val="en-US" w:eastAsia="zh-CN"/>
        </w:rPr>
        <w:t>.1 供应商在填报价格时应与产品生产企业或总代理商充分沟通。供应商不得以产品成交价格、授权等问题，影响医院采购和临床使用。如因供应商原因造成不能供货，将按</w:t>
      </w:r>
      <w:r>
        <w:rPr>
          <w:rFonts w:hint="eastAsia" w:ascii="宋体" w:hAnsi="宋体" w:eastAsia="宋体" w:cs="宋体"/>
          <w:b w:val="0"/>
          <w:bCs w:val="0"/>
          <w:color w:val="auto"/>
          <w:sz w:val="24"/>
          <w:szCs w:val="24"/>
          <w:highlight w:val="none"/>
          <w:lang w:val="en-US" w:eastAsia="zh-CN"/>
        </w:rPr>
        <w:t>《合同》</w:t>
      </w:r>
      <w:r>
        <w:rPr>
          <w:rFonts w:hint="eastAsia" w:ascii="宋体" w:hAnsi="宋体" w:eastAsia="宋体" w:cs="宋体"/>
          <w:b w:val="0"/>
          <w:bCs w:val="0"/>
          <w:color w:val="auto"/>
          <w:sz w:val="24"/>
          <w:szCs w:val="24"/>
          <w:lang w:val="en-US" w:eastAsia="zh-CN"/>
        </w:rPr>
        <w:t>中相关约定要求成交供应商补偿给采购人造成的一切经济损失；</w:t>
      </w:r>
    </w:p>
    <w:p w14:paraId="70E76BB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3</w:t>
      </w:r>
      <w:r>
        <w:rPr>
          <w:rFonts w:hint="eastAsia" w:ascii="宋体" w:hAnsi="宋体" w:eastAsia="宋体" w:cs="宋体"/>
          <w:b w:val="0"/>
          <w:bCs w:val="0"/>
          <w:color w:val="auto"/>
          <w:sz w:val="24"/>
          <w:szCs w:val="24"/>
          <w:lang w:val="en-US" w:eastAsia="zh-CN"/>
        </w:rPr>
        <w:t>.2 若成交供应商不能按合同及“两票制”（采购周期内如政策调整按调整后政策执行）要求进行及时配送，医院有权指定其他配送企业进行配送，由此造成的耗材差价、措施费、医院、患者一切损失等由成交供应商承担。对于成交供应商不能履行配送义务的，将解除合同，同时对不能配送产品，成交供应商补偿采购人采购的差价和由此带给采购人造成的一切经济损失；</w:t>
      </w:r>
    </w:p>
    <w:p w14:paraId="6DEF957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3</w:t>
      </w:r>
      <w:r>
        <w:rPr>
          <w:rFonts w:hint="eastAsia" w:ascii="宋体" w:hAnsi="宋体" w:eastAsia="宋体" w:cs="宋体"/>
          <w:b w:val="0"/>
          <w:bCs w:val="0"/>
          <w:color w:val="auto"/>
          <w:sz w:val="24"/>
          <w:szCs w:val="24"/>
          <w:lang w:val="en-US" w:eastAsia="zh-CN"/>
        </w:rPr>
        <w:t>.3 供应商应具备完成本项目基本的物流及仓储能力，供应商须承诺接到医院采购计划后,在规定时间内完成配送(急抢救用耗材原则上4小时内配送到位；一般耗材24小时内送达，最长不超过72小时；节假日照常配送；特别紧急的须按甲方要求及时送到)。配送产品的剩余有效期，须占有效期的三分之二；</w:t>
      </w:r>
    </w:p>
    <w:p w14:paraId="4CAA1C0B">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3</w:t>
      </w:r>
      <w:r>
        <w:rPr>
          <w:rFonts w:hint="eastAsia" w:ascii="宋体" w:hAnsi="宋体" w:eastAsia="宋体" w:cs="宋体"/>
          <w:b w:val="0"/>
          <w:bCs w:val="0"/>
          <w:color w:val="auto"/>
          <w:sz w:val="24"/>
          <w:szCs w:val="24"/>
          <w:lang w:val="en-US" w:eastAsia="zh-CN"/>
        </w:rPr>
        <w:t>.4供应商应有完善且固定的配送及售后服务人员，其中要有专人负责本项目。</w:t>
      </w:r>
      <w:r>
        <w:rPr>
          <w:rFonts w:hint="eastAsia" w:ascii="宋体" w:hAnsi="宋体" w:eastAsia="宋体" w:cs="宋体"/>
          <w:b w:val="0"/>
          <w:bCs w:val="0"/>
          <w:color w:val="auto"/>
          <w:sz w:val="24"/>
          <w:szCs w:val="24"/>
          <w:highlight w:val="none"/>
          <w:lang w:val="en-US" w:eastAsia="zh-CN"/>
        </w:rPr>
        <w:t>供应商须在配送服务方案中明确落实及时送达的具体安排、应急预案及响应措施。</w:t>
      </w:r>
      <w:r>
        <w:rPr>
          <w:rFonts w:hint="eastAsia" w:ascii="宋体" w:hAnsi="宋体" w:eastAsia="宋体" w:cs="宋体"/>
          <w:b w:val="0"/>
          <w:bCs w:val="0"/>
          <w:color w:val="auto"/>
          <w:sz w:val="24"/>
          <w:szCs w:val="24"/>
          <w:lang w:val="en-US" w:eastAsia="zh-CN"/>
        </w:rPr>
        <w:t>(按采购人要求的基数进行急抢救耗材备货，否则造成的后果由成交供应商承担)；</w:t>
      </w:r>
    </w:p>
    <w:p w14:paraId="0DC6792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3</w:t>
      </w:r>
      <w:r>
        <w:rPr>
          <w:rFonts w:hint="eastAsia" w:ascii="宋体" w:hAnsi="宋体" w:eastAsia="宋体" w:cs="宋体"/>
          <w:b w:val="0"/>
          <w:bCs w:val="0"/>
          <w:color w:val="auto"/>
          <w:sz w:val="24"/>
          <w:szCs w:val="24"/>
          <w:lang w:val="en-US" w:eastAsia="zh-CN"/>
        </w:rPr>
        <w:t>.5对属于介入、骨科等需要提供专业配套服务的耗材，供应商应具有完善的配套服务，针对项目建立完善的配套方案，做好产品的质量跟踪及手术人员配备，产品的贮存符合项目要求，保证供货产品的质量，及时满足项目的服务需求</w:t>
      </w:r>
      <w:r>
        <w:rPr>
          <w:rFonts w:hint="eastAsia" w:ascii="宋体" w:hAnsi="宋体" w:eastAsia="宋体" w:cs="宋体"/>
          <w:b/>
          <w:bCs/>
          <w:color w:val="auto"/>
          <w:sz w:val="24"/>
          <w:szCs w:val="24"/>
          <w:lang w:val="en-US" w:eastAsia="zh-CN"/>
        </w:rPr>
        <w:t>（供应商须在响应文件中编制服务方案，格式自拟）</w:t>
      </w:r>
      <w:r>
        <w:rPr>
          <w:rFonts w:hint="eastAsia" w:ascii="宋体" w:hAnsi="宋体" w:eastAsia="宋体" w:cs="宋体"/>
          <w:b w:val="0"/>
          <w:bCs w:val="0"/>
          <w:color w:val="auto"/>
          <w:sz w:val="24"/>
          <w:szCs w:val="24"/>
          <w:lang w:val="en-US" w:eastAsia="zh-CN"/>
        </w:rPr>
        <w:t>，方案内容包含但不限于上述要求；</w:t>
      </w:r>
    </w:p>
    <w:p w14:paraId="530714DB">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3</w:t>
      </w:r>
      <w:r>
        <w:rPr>
          <w:rFonts w:hint="eastAsia" w:ascii="宋体" w:hAnsi="宋体" w:eastAsia="宋体" w:cs="宋体"/>
          <w:b w:val="0"/>
          <w:bCs w:val="0"/>
          <w:color w:val="auto"/>
          <w:sz w:val="24"/>
          <w:szCs w:val="24"/>
          <w:lang w:val="en-US" w:eastAsia="zh-CN"/>
        </w:rPr>
        <w:t>.6供应商应具有完善的售后服务体系，配备本项目的实施组成人员，做好岗前培训，明确分工及职责；建立售后服务保障措施；售后服务响应方式多样；售后服务做到快捷、专业、有效；</w:t>
      </w:r>
    </w:p>
    <w:p w14:paraId="6CC2325B">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3</w:t>
      </w:r>
      <w:r>
        <w:rPr>
          <w:rFonts w:hint="eastAsia" w:ascii="宋体" w:hAnsi="宋体" w:eastAsia="宋体" w:cs="宋体"/>
          <w:b w:val="0"/>
          <w:bCs w:val="0"/>
          <w:color w:val="auto"/>
          <w:sz w:val="24"/>
          <w:szCs w:val="24"/>
          <w:lang w:val="en-US" w:eastAsia="zh-CN"/>
        </w:rPr>
        <w:t>.7 属安徽省医药集中采购平台的耗材, 成交供应商在签订合同前须取得所投产品网采配送资格并按照成交价格完成网采平台配送关系建立。（成交通知书发放后7个工作日内未完成网采关系建立，视为自动放弃成交资格。同时成交供应商赔偿给采购人造成的一切经济损失）</w:t>
      </w:r>
      <w:r>
        <w:rPr>
          <w:rFonts w:hint="eastAsia" w:ascii="宋体" w:hAnsi="宋体" w:eastAsia="宋体" w:cs="宋体"/>
          <w:b/>
          <w:bCs/>
          <w:color w:val="auto"/>
          <w:sz w:val="24"/>
          <w:szCs w:val="24"/>
          <w:lang w:val="en-US" w:eastAsia="zh-CN"/>
        </w:rPr>
        <w:t>(响应文件中提供承诺函，格式自拟)</w:t>
      </w:r>
      <w:r>
        <w:rPr>
          <w:rFonts w:hint="eastAsia" w:ascii="宋体" w:hAnsi="宋体" w:eastAsia="宋体" w:cs="宋体"/>
          <w:b w:val="0"/>
          <w:bCs w:val="0"/>
          <w:color w:val="auto"/>
          <w:sz w:val="24"/>
          <w:szCs w:val="24"/>
          <w:lang w:val="en-US" w:eastAsia="zh-CN"/>
        </w:rPr>
        <w:t>；</w:t>
      </w:r>
    </w:p>
    <w:p w14:paraId="39580437">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3</w:t>
      </w:r>
      <w:r>
        <w:rPr>
          <w:rFonts w:hint="eastAsia" w:ascii="宋体" w:hAnsi="宋体" w:eastAsia="宋体" w:cs="宋体"/>
          <w:b w:val="0"/>
          <w:bCs w:val="0"/>
          <w:color w:val="auto"/>
          <w:sz w:val="24"/>
          <w:szCs w:val="24"/>
          <w:lang w:val="en-US" w:eastAsia="zh-CN"/>
        </w:rPr>
        <w:t>.8 属安徽省医疗保险可单独收费医用耗材目录编码内耗材，</w:t>
      </w:r>
      <w:r>
        <w:rPr>
          <w:rFonts w:hint="eastAsia" w:ascii="宋体" w:hAnsi="宋体" w:eastAsia="宋体" w:cs="宋体"/>
          <w:b w:val="0"/>
          <w:bCs w:val="0"/>
          <w:color w:val="auto"/>
          <w:sz w:val="24"/>
          <w:szCs w:val="24"/>
          <w:highlight w:val="none"/>
          <w:lang w:val="en-US" w:eastAsia="zh-CN"/>
        </w:rPr>
        <w:t>供应商需</w:t>
      </w:r>
      <w:r>
        <w:rPr>
          <w:rFonts w:hint="eastAsia" w:ascii="宋体" w:hAnsi="宋体" w:cs="宋体"/>
          <w:b w:val="0"/>
          <w:bCs w:val="0"/>
          <w:color w:val="auto"/>
          <w:sz w:val="24"/>
          <w:szCs w:val="24"/>
          <w:highlight w:val="none"/>
          <w:lang w:val="en-US" w:eastAsia="zh-CN"/>
        </w:rPr>
        <w:t>在响应文件中</w:t>
      </w:r>
      <w:r>
        <w:rPr>
          <w:rFonts w:hint="eastAsia" w:ascii="宋体" w:hAnsi="宋体" w:eastAsia="宋体" w:cs="宋体"/>
          <w:b w:val="0"/>
          <w:bCs w:val="0"/>
          <w:color w:val="auto"/>
          <w:sz w:val="24"/>
          <w:szCs w:val="24"/>
          <w:highlight w:val="none"/>
          <w:lang w:val="en-US" w:eastAsia="zh-CN"/>
        </w:rPr>
        <w:t>提供所投产品对应耗材编码</w:t>
      </w:r>
      <w:r>
        <w:rPr>
          <w:rFonts w:hint="eastAsia" w:ascii="宋体" w:hAnsi="宋体" w:eastAsia="宋体" w:cs="宋体"/>
          <w:b w:val="0"/>
          <w:bCs w:val="0"/>
          <w:color w:val="auto"/>
          <w:sz w:val="24"/>
          <w:szCs w:val="24"/>
          <w:lang w:val="en-US" w:eastAsia="zh-CN"/>
        </w:rPr>
        <w:t>（若未填写或无相应编码，采购人将不采购此耗材）；</w:t>
      </w:r>
    </w:p>
    <w:p w14:paraId="2DBFE1E0">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3</w:t>
      </w:r>
      <w:r>
        <w:rPr>
          <w:rFonts w:hint="eastAsia" w:ascii="宋体" w:hAnsi="宋体" w:eastAsia="宋体" w:cs="宋体"/>
          <w:b w:val="0"/>
          <w:bCs w:val="0"/>
          <w:color w:val="auto"/>
          <w:sz w:val="24"/>
          <w:szCs w:val="24"/>
          <w:lang w:val="en-US" w:eastAsia="zh-CN"/>
        </w:rPr>
        <w:t>.9 成交供应商在签订合同前须提供产品生产企业或总代理商针对本项目的有效授权书；</w:t>
      </w:r>
    </w:p>
    <w:p w14:paraId="21232DE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w:t>
      </w:r>
      <w:r>
        <w:rPr>
          <w:rFonts w:hint="eastAsia" w:ascii="宋体" w:hAnsi="宋体" w:cs="宋体"/>
          <w:b w:val="0"/>
          <w:bCs w:val="0"/>
          <w:color w:val="auto"/>
          <w:sz w:val="24"/>
          <w:szCs w:val="24"/>
          <w:lang w:val="en-US" w:eastAsia="zh-CN"/>
        </w:rPr>
        <w:t>3</w:t>
      </w:r>
      <w:r>
        <w:rPr>
          <w:rFonts w:hint="eastAsia" w:ascii="宋体" w:hAnsi="宋体" w:eastAsia="宋体" w:cs="宋体"/>
          <w:b w:val="0"/>
          <w:bCs w:val="0"/>
          <w:color w:val="auto"/>
          <w:sz w:val="24"/>
          <w:szCs w:val="24"/>
          <w:lang w:val="en-US" w:eastAsia="zh-CN"/>
        </w:rPr>
        <w:t>.10 成交供应商须承诺配送的产品，自愿支付所供货款金额的≤2%用于医用物资SPD智慧物流管理服务，并无条件签订三方协议</w:t>
      </w:r>
      <w:r>
        <w:rPr>
          <w:rFonts w:hint="eastAsia" w:ascii="宋体" w:hAnsi="宋体" w:eastAsia="宋体" w:cs="宋体"/>
          <w:b/>
          <w:bCs/>
          <w:color w:val="auto"/>
          <w:sz w:val="24"/>
          <w:szCs w:val="24"/>
          <w:lang w:val="en-US" w:eastAsia="zh-CN"/>
        </w:rPr>
        <w:t>(响应文件中提供承诺函，格式自拟)</w:t>
      </w:r>
      <w:r>
        <w:rPr>
          <w:rFonts w:hint="eastAsia" w:ascii="宋体" w:hAnsi="宋体" w:eastAsia="宋体" w:cs="宋体"/>
          <w:b w:val="0"/>
          <w:bCs w:val="0"/>
          <w:color w:val="auto"/>
          <w:sz w:val="24"/>
          <w:szCs w:val="24"/>
          <w:lang w:val="en-US" w:eastAsia="zh-CN"/>
        </w:rPr>
        <w:t>；</w:t>
      </w:r>
    </w:p>
    <w:p w14:paraId="113EADE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3</w:t>
      </w:r>
      <w:r>
        <w:rPr>
          <w:rFonts w:hint="eastAsia" w:ascii="宋体" w:hAnsi="宋体" w:eastAsia="宋体" w:cs="宋体"/>
          <w:b w:val="0"/>
          <w:bCs w:val="0"/>
          <w:color w:val="auto"/>
          <w:sz w:val="24"/>
          <w:szCs w:val="24"/>
          <w:lang w:val="en-US" w:eastAsia="zh-CN"/>
        </w:rPr>
        <w:t>.11 履约期内不得以任何理由变更合同签约供应商；</w:t>
      </w:r>
    </w:p>
    <w:p w14:paraId="0999A724">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3</w:t>
      </w:r>
      <w:r>
        <w:rPr>
          <w:rFonts w:hint="eastAsia" w:ascii="宋体" w:hAnsi="宋体" w:eastAsia="宋体" w:cs="宋体"/>
          <w:b w:val="0"/>
          <w:bCs w:val="0"/>
          <w:color w:val="auto"/>
          <w:sz w:val="24"/>
          <w:szCs w:val="24"/>
          <w:lang w:val="en-US" w:eastAsia="zh-CN"/>
        </w:rPr>
        <w:t>.12采购周期内如遇国家省市相关部门政策调整，以调整后的政策为准。采购周期内一切产品如遇国家、省、市带量采购的，均执行国家、省、市带量采购，采购期自动终止。</w:t>
      </w:r>
    </w:p>
    <w:p w14:paraId="3C101F11">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2" w:firstLineChars="200"/>
        <w:jc w:val="both"/>
        <w:textAlignment w:val="auto"/>
        <w:outlineLvl w:val="9"/>
        <w:rPr>
          <w:rFonts w:hint="eastAsia" w:ascii="宋体" w:hAnsi="宋体" w:eastAsia="宋体" w:cs="宋体"/>
          <w:b/>
          <w:bCs/>
          <w:i w:val="0"/>
          <w:iCs w:val="0"/>
          <w:caps w:val="0"/>
          <w:color w:val="auto"/>
          <w:spacing w:val="0"/>
          <w:sz w:val="24"/>
          <w:szCs w:val="24"/>
          <w:shd w:val="clear" w:color="auto" w:fill="FFFFFF"/>
          <w:lang w:val="en-US" w:eastAsia="zh-CN"/>
        </w:rPr>
      </w:pPr>
      <w:r>
        <w:rPr>
          <w:rFonts w:hint="eastAsia" w:ascii="宋体" w:hAnsi="宋体" w:eastAsia="宋体" w:cs="宋体"/>
          <w:b/>
          <w:bCs/>
          <w:i w:val="0"/>
          <w:iCs w:val="0"/>
          <w:caps w:val="0"/>
          <w:color w:val="auto"/>
          <w:spacing w:val="0"/>
          <w:sz w:val="24"/>
          <w:szCs w:val="24"/>
          <w:shd w:val="clear" w:color="auto" w:fill="FFFFFF"/>
          <w:lang w:val="en-US" w:eastAsia="zh-CN"/>
        </w:rPr>
        <w:t>注：</w:t>
      </w:r>
      <w:r>
        <w:rPr>
          <w:rFonts w:hint="eastAsia" w:ascii="宋体" w:hAnsi="宋体" w:eastAsia="宋体" w:cs="宋体"/>
          <w:b/>
          <w:bCs/>
          <w:color w:val="auto"/>
          <w:sz w:val="24"/>
          <w:szCs w:val="24"/>
          <w:highlight w:val="none"/>
          <w:lang w:val="en-US" w:eastAsia="zh-CN"/>
        </w:rPr>
        <w:t>上述参数以响应情况表为评审依据。“★”参数有负偏离或非“★”参数负偏离情形＞2条，视作无效响应。</w:t>
      </w:r>
    </w:p>
    <w:p w14:paraId="680BC4BA">
      <w:pPr>
        <w:rPr>
          <w:rFonts w:hint="eastAsia"/>
          <w:color w:val="auto"/>
        </w:rPr>
      </w:pPr>
    </w:p>
    <w:bookmarkEnd w:id="1"/>
    <w:sectPr>
      <w:headerReference r:id="rId3" w:type="default"/>
      <w:footerReference r:id="rId4" w:type="default"/>
      <w:pgSz w:w="11906" w:h="16838"/>
      <w:pgMar w:top="1440" w:right="1531" w:bottom="1440"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B446ABC-5227-4C4F-9E01-438E57B07CE8}"/>
  </w:font>
  <w:font w:name="黑体">
    <w:panose1 w:val="02010609060101010101"/>
    <w:charset w:val="86"/>
    <w:family w:val="auto"/>
    <w:pitch w:val="default"/>
    <w:sig w:usb0="800002BF" w:usb1="38CF7CFA" w:usb2="00000016" w:usb3="00000000" w:csb0="00040001" w:csb1="00000000"/>
    <w:embedRegular r:id="rId2" w:fontKey="{1736527E-F012-471D-A2F0-50B2902AD61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等线">
    <w:panose1 w:val="02010600030101010101"/>
    <w:charset w:val="86"/>
    <w:family w:val="auto"/>
    <w:pitch w:val="default"/>
    <w:sig w:usb0="A00002BF" w:usb1="38CF7CFA" w:usb2="00000016" w:usb3="00000000" w:csb0="0004000F" w:csb1="00000000"/>
  </w:font>
  <w:font w:name="DengXian ( 正文 )">
    <w:altName w:val="Times New Roman"/>
    <w:panose1 w:val="00000000000000000000"/>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0913A">
    <w:pPr>
      <w:pStyle w:val="11"/>
      <w:pBdr>
        <w:top w:val="single" w:color="auto" w:sz="4" w:space="1"/>
      </w:pBdr>
      <w:ind w:right="360"/>
      <w:rPr>
        <w:sz w:val="24"/>
        <w:szCs w:val="24"/>
      </w:rPr>
    </w:pPr>
    <w:r>
      <w:rPr>
        <w:sz w:val="24"/>
        <w:lang w:bidi="ar-SA"/>
      </w:rPr>
      <w:pict>
        <v:shape id="_x0000_s4098" o:spid="_x0000_s4098"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weight="0.5pt"/>
          <v:imagedata o:title=""/>
          <o:lock v:ext="edit" aspectratio="f"/>
          <v:textbox inset="0mm,0mm,0mm,0mm" style="mso-fit-shape-to-text:t;">
            <w:txbxContent>
              <w:p w14:paraId="69CE9FEB">
                <w:pPr>
                  <w:pStyle w:val="11"/>
                  <w:rPr>
                    <w:rStyle w:val="23"/>
                    <w:i/>
                    <w:sz w:val="21"/>
                    <w:szCs w:val="21"/>
                  </w:rPr>
                </w:pPr>
                <w:r>
                  <w:rPr>
                    <w:rStyle w:val="23"/>
                    <w:rFonts w:hint="eastAsia"/>
                    <w:i/>
                    <w:sz w:val="21"/>
                    <w:szCs w:val="21"/>
                  </w:rPr>
                  <w:t>-</w:t>
                </w:r>
                <w:r>
                  <w:rPr>
                    <w:rFonts w:ascii="Arial" w:hAnsi="Arial" w:cs="Arial"/>
                    <w:i/>
                    <w:sz w:val="21"/>
                    <w:szCs w:val="21"/>
                  </w:rPr>
                  <w:fldChar w:fldCharType="begin"/>
                </w:r>
                <w:r>
                  <w:rPr>
                    <w:rStyle w:val="23"/>
                    <w:rFonts w:ascii="Arial" w:hAnsi="Arial" w:cs="Arial"/>
                    <w:i/>
                    <w:sz w:val="21"/>
                    <w:szCs w:val="21"/>
                  </w:rPr>
                  <w:instrText xml:space="preserve">PAGE  </w:instrText>
                </w:r>
                <w:r>
                  <w:rPr>
                    <w:rFonts w:ascii="Arial" w:hAnsi="Arial" w:cs="Arial"/>
                    <w:i/>
                    <w:sz w:val="21"/>
                    <w:szCs w:val="21"/>
                  </w:rPr>
                  <w:fldChar w:fldCharType="separate"/>
                </w:r>
                <w:r>
                  <w:rPr>
                    <w:rStyle w:val="23"/>
                    <w:rFonts w:ascii="Arial" w:hAnsi="Arial" w:cs="Arial"/>
                    <w:i/>
                    <w:sz w:val="21"/>
                    <w:szCs w:val="21"/>
                  </w:rPr>
                  <w:t>39</w:t>
                </w:r>
                <w:r>
                  <w:rPr>
                    <w:rFonts w:ascii="Arial" w:hAnsi="Arial" w:cs="Arial"/>
                    <w:i/>
                    <w:sz w:val="21"/>
                    <w:szCs w:val="21"/>
                  </w:rPr>
                  <w:fldChar w:fldCharType="end"/>
                </w:r>
                <w:r>
                  <w:rPr>
                    <w:rStyle w:val="23"/>
                    <w:rFonts w:hint="eastAsia"/>
                    <w:i/>
                    <w:sz w:val="21"/>
                    <w:szCs w:val="21"/>
                  </w:rPr>
                  <w:t>-</w:t>
                </w:r>
              </w:p>
            </w:txbxContent>
          </v:textbox>
        </v:shape>
      </w:pict>
    </w:r>
  </w:p>
  <w:p w14:paraId="24999340"/>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463C44">
    <w:pPr>
      <w:pStyle w:val="12"/>
      <w:pBdr>
        <w:bottom w:val="single" w:color="auto" w:sz="4"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MWE0NDAxZDlhNWUxZDFjNWVhNTc2OGI4OWZlYjE1YmMifQ=="/>
  </w:docVars>
  <w:rsids>
    <w:rsidRoot w:val="6EC727D8"/>
    <w:rsid w:val="000008DC"/>
    <w:rsid w:val="00074755"/>
    <w:rsid w:val="000D5B86"/>
    <w:rsid w:val="000E1F6C"/>
    <w:rsid w:val="000F7491"/>
    <w:rsid w:val="00107F7A"/>
    <w:rsid w:val="001377B4"/>
    <w:rsid w:val="001531BC"/>
    <w:rsid w:val="001C7F21"/>
    <w:rsid w:val="001D0E19"/>
    <w:rsid w:val="00241BCE"/>
    <w:rsid w:val="002827D9"/>
    <w:rsid w:val="00310043"/>
    <w:rsid w:val="00325DD1"/>
    <w:rsid w:val="00330497"/>
    <w:rsid w:val="00337BD4"/>
    <w:rsid w:val="00360082"/>
    <w:rsid w:val="00370FA3"/>
    <w:rsid w:val="003D6EB2"/>
    <w:rsid w:val="003E7146"/>
    <w:rsid w:val="004C3D64"/>
    <w:rsid w:val="00502F86"/>
    <w:rsid w:val="00554AED"/>
    <w:rsid w:val="005B7F2A"/>
    <w:rsid w:val="005C36B3"/>
    <w:rsid w:val="005E629F"/>
    <w:rsid w:val="005F257E"/>
    <w:rsid w:val="005F31BF"/>
    <w:rsid w:val="0062612B"/>
    <w:rsid w:val="00643FFD"/>
    <w:rsid w:val="00664226"/>
    <w:rsid w:val="00664B49"/>
    <w:rsid w:val="006A1B74"/>
    <w:rsid w:val="00706B07"/>
    <w:rsid w:val="00737B01"/>
    <w:rsid w:val="00756192"/>
    <w:rsid w:val="007654C4"/>
    <w:rsid w:val="007679EB"/>
    <w:rsid w:val="00771506"/>
    <w:rsid w:val="007925A2"/>
    <w:rsid w:val="0079330D"/>
    <w:rsid w:val="007967C9"/>
    <w:rsid w:val="007B7190"/>
    <w:rsid w:val="007E4AEE"/>
    <w:rsid w:val="007F5FDC"/>
    <w:rsid w:val="008877ED"/>
    <w:rsid w:val="008B34A7"/>
    <w:rsid w:val="008E06AA"/>
    <w:rsid w:val="008E4B3E"/>
    <w:rsid w:val="008F5ACA"/>
    <w:rsid w:val="00910B63"/>
    <w:rsid w:val="00936ACC"/>
    <w:rsid w:val="0096212F"/>
    <w:rsid w:val="009C2971"/>
    <w:rsid w:val="009D484D"/>
    <w:rsid w:val="00A0731A"/>
    <w:rsid w:val="00A53F70"/>
    <w:rsid w:val="00A72BE0"/>
    <w:rsid w:val="00AB14BC"/>
    <w:rsid w:val="00AC096B"/>
    <w:rsid w:val="00AE137C"/>
    <w:rsid w:val="00B0397C"/>
    <w:rsid w:val="00B11A1A"/>
    <w:rsid w:val="00B403CD"/>
    <w:rsid w:val="00B519D7"/>
    <w:rsid w:val="00B60525"/>
    <w:rsid w:val="00B75680"/>
    <w:rsid w:val="00B91F55"/>
    <w:rsid w:val="00B92E69"/>
    <w:rsid w:val="00B93C87"/>
    <w:rsid w:val="00BA0C8C"/>
    <w:rsid w:val="00BB413B"/>
    <w:rsid w:val="00BC12F0"/>
    <w:rsid w:val="00BC3B7F"/>
    <w:rsid w:val="00BD2778"/>
    <w:rsid w:val="00C73E3E"/>
    <w:rsid w:val="00C75E31"/>
    <w:rsid w:val="00C905B8"/>
    <w:rsid w:val="00D009EA"/>
    <w:rsid w:val="00D45394"/>
    <w:rsid w:val="00D62FCB"/>
    <w:rsid w:val="00D64BD5"/>
    <w:rsid w:val="00D76247"/>
    <w:rsid w:val="00D90AFE"/>
    <w:rsid w:val="00D96E63"/>
    <w:rsid w:val="00DC661F"/>
    <w:rsid w:val="00DC6BD9"/>
    <w:rsid w:val="00DE4501"/>
    <w:rsid w:val="00E1437E"/>
    <w:rsid w:val="00E25D2A"/>
    <w:rsid w:val="00E37283"/>
    <w:rsid w:val="00E43CD1"/>
    <w:rsid w:val="00E815D1"/>
    <w:rsid w:val="00EC71D2"/>
    <w:rsid w:val="00ED4AA4"/>
    <w:rsid w:val="00F07E7E"/>
    <w:rsid w:val="00F24888"/>
    <w:rsid w:val="00F44726"/>
    <w:rsid w:val="00FA7A82"/>
    <w:rsid w:val="00FB3DFE"/>
    <w:rsid w:val="00FE651F"/>
    <w:rsid w:val="01DE4D61"/>
    <w:rsid w:val="0288500D"/>
    <w:rsid w:val="029F74CA"/>
    <w:rsid w:val="02DF7AA4"/>
    <w:rsid w:val="02E86730"/>
    <w:rsid w:val="032264FD"/>
    <w:rsid w:val="03440AAD"/>
    <w:rsid w:val="03B20153"/>
    <w:rsid w:val="040B2A74"/>
    <w:rsid w:val="043A57EC"/>
    <w:rsid w:val="04A4420B"/>
    <w:rsid w:val="04AE61F1"/>
    <w:rsid w:val="04FB16CE"/>
    <w:rsid w:val="0564343C"/>
    <w:rsid w:val="058D4B01"/>
    <w:rsid w:val="06B342AD"/>
    <w:rsid w:val="07477E74"/>
    <w:rsid w:val="07B733C4"/>
    <w:rsid w:val="07ED349A"/>
    <w:rsid w:val="08092B10"/>
    <w:rsid w:val="08311379"/>
    <w:rsid w:val="08964B56"/>
    <w:rsid w:val="08CE2E53"/>
    <w:rsid w:val="08F55D20"/>
    <w:rsid w:val="091A3FB8"/>
    <w:rsid w:val="097C116F"/>
    <w:rsid w:val="09971291"/>
    <w:rsid w:val="09A21F4E"/>
    <w:rsid w:val="09A8018A"/>
    <w:rsid w:val="09AF2373"/>
    <w:rsid w:val="09D15427"/>
    <w:rsid w:val="0A075837"/>
    <w:rsid w:val="0A210AF1"/>
    <w:rsid w:val="0A280703"/>
    <w:rsid w:val="0A4834A5"/>
    <w:rsid w:val="0A495578"/>
    <w:rsid w:val="0A5C3C67"/>
    <w:rsid w:val="0A6C2489"/>
    <w:rsid w:val="0A9607F5"/>
    <w:rsid w:val="0AB1595C"/>
    <w:rsid w:val="0AF87637"/>
    <w:rsid w:val="0B0D1F83"/>
    <w:rsid w:val="0B143F21"/>
    <w:rsid w:val="0B1C059C"/>
    <w:rsid w:val="0B402762"/>
    <w:rsid w:val="0BCF2F63"/>
    <w:rsid w:val="0BD32EFE"/>
    <w:rsid w:val="0C43404D"/>
    <w:rsid w:val="0CA75589"/>
    <w:rsid w:val="0CC0529A"/>
    <w:rsid w:val="0D1843F4"/>
    <w:rsid w:val="0D4B549C"/>
    <w:rsid w:val="0D592054"/>
    <w:rsid w:val="0D614AED"/>
    <w:rsid w:val="0D851A87"/>
    <w:rsid w:val="0D925950"/>
    <w:rsid w:val="0DED2C29"/>
    <w:rsid w:val="0E4B725D"/>
    <w:rsid w:val="0E635B8D"/>
    <w:rsid w:val="0F1A4EA2"/>
    <w:rsid w:val="0F3155D8"/>
    <w:rsid w:val="0F323C80"/>
    <w:rsid w:val="0F543075"/>
    <w:rsid w:val="0FB3426A"/>
    <w:rsid w:val="1008681F"/>
    <w:rsid w:val="107E158A"/>
    <w:rsid w:val="10935409"/>
    <w:rsid w:val="10D161C4"/>
    <w:rsid w:val="10FD5728"/>
    <w:rsid w:val="115B7DA2"/>
    <w:rsid w:val="11A1491C"/>
    <w:rsid w:val="12A2123C"/>
    <w:rsid w:val="12DB2E87"/>
    <w:rsid w:val="13E04764"/>
    <w:rsid w:val="142E6509"/>
    <w:rsid w:val="14D727D0"/>
    <w:rsid w:val="1504196C"/>
    <w:rsid w:val="150D1F93"/>
    <w:rsid w:val="152D26FB"/>
    <w:rsid w:val="15DE4303"/>
    <w:rsid w:val="15EC4007"/>
    <w:rsid w:val="163634D4"/>
    <w:rsid w:val="16BD4EA7"/>
    <w:rsid w:val="16FC1186"/>
    <w:rsid w:val="17084E70"/>
    <w:rsid w:val="176A436F"/>
    <w:rsid w:val="17B07BF3"/>
    <w:rsid w:val="17C678CB"/>
    <w:rsid w:val="183C2926"/>
    <w:rsid w:val="18BD045D"/>
    <w:rsid w:val="18FA593C"/>
    <w:rsid w:val="18FB6DC4"/>
    <w:rsid w:val="18FD1A72"/>
    <w:rsid w:val="19616271"/>
    <w:rsid w:val="1A2F1DF7"/>
    <w:rsid w:val="1A393593"/>
    <w:rsid w:val="1AB33992"/>
    <w:rsid w:val="1AF75EF5"/>
    <w:rsid w:val="1B0B5973"/>
    <w:rsid w:val="1B133E17"/>
    <w:rsid w:val="1B863CEA"/>
    <w:rsid w:val="1BA01BB2"/>
    <w:rsid w:val="1BF80FCF"/>
    <w:rsid w:val="1C283304"/>
    <w:rsid w:val="1CAB5C51"/>
    <w:rsid w:val="1CAC3B3D"/>
    <w:rsid w:val="1D3159D0"/>
    <w:rsid w:val="1DA72630"/>
    <w:rsid w:val="1DE960B7"/>
    <w:rsid w:val="1DEF77E3"/>
    <w:rsid w:val="1E8821E9"/>
    <w:rsid w:val="1F5F074C"/>
    <w:rsid w:val="1FCC441A"/>
    <w:rsid w:val="203B19C0"/>
    <w:rsid w:val="20A73065"/>
    <w:rsid w:val="20C46ABB"/>
    <w:rsid w:val="21052AC9"/>
    <w:rsid w:val="210669F5"/>
    <w:rsid w:val="21182CA5"/>
    <w:rsid w:val="2126612C"/>
    <w:rsid w:val="219C7306"/>
    <w:rsid w:val="21B6299C"/>
    <w:rsid w:val="21D35EFA"/>
    <w:rsid w:val="223F5AB8"/>
    <w:rsid w:val="229E7CA9"/>
    <w:rsid w:val="23393203"/>
    <w:rsid w:val="23487548"/>
    <w:rsid w:val="234B73CC"/>
    <w:rsid w:val="23980A4F"/>
    <w:rsid w:val="23FB1052"/>
    <w:rsid w:val="245B7E1B"/>
    <w:rsid w:val="24B808B0"/>
    <w:rsid w:val="24F5771F"/>
    <w:rsid w:val="250274DC"/>
    <w:rsid w:val="251009E1"/>
    <w:rsid w:val="256413CB"/>
    <w:rsid w:val="25A428FF"/>
    <w:rsid w:val="263E440B"/>
    <w:rsid w:val="2697245B"/>
    <w:rsid w:val="26A84A0A"/>
    <w:rsid w:val="2768712B"/>
    <w:rsid w:val="27B90C4D"/>
    <w:rsid w:val="280B3CFB"/>
    <w:rsid w:val="28BB09C3"/>
    <w:rsid w:val="29665200"/>
    <w:rsid w:val="296672B1"/>
    <w:rsid w:val="29CD7BEE"/>
    <w:rsid w:val="2A046DA4"/>
    <w:rsid w:val="2A0659F4"/>
    <w:rsid w:val="2A3612DF"/>
    <w:rsid w:val="2A420242"/>
    <w:rsid w:val="2A5E66E7"/>
    <w:rsid w:val="2A9D3745"/>
    <w:rsid w:val="2AF84251"/>
    <w:rsid w:val="2B4B43F6"/>
    <w:rsid w:val="2B7F505A"/>
    <w:rsid w:val="2B953DC6"/>
    <w:rsid w:val="2BB1633C"/>
    <w:rsid w:val="2C210F6D"/>
    <w:rsid w:val="2CE82102"/>
    <w:rsid w:val="2D5D3C4E"/>
    <w:rsid w:val="2DA30746"/>
    <w:rsid w:val="2DB11966"/>
    <w:rsid w:val="2E035D14"/>
    <w:rsid w:val="2E8A5B37"/>
    <w:rsid w:val="2F0506B8"/>
    <w:rsid w:val="2F536455"/>
    <w:rsid w:val="2F930C2B"/>
    <w:rsid w:val="2FD31515"/>
    <w:rsid w:val="2FEA2971"/>
    <w:rsid w:val="30403541"/>
    <w:rsid w:val="30631D01"/>
    <w:rsid w:val="308360CB"/>
    <w:rsid w:val="30CB7EF2"/>
    <w:rsid w:val="30CE542D"/>
    <w:rsid w:val="31175D92"/>
    <w:rsid w:val="312C15FD"/>
    <w:rsid w:val="31653193"/>
    <w:rsid w:val="31EC7411"/>
    <w:rsid w:val="321D581C"/>
    <w:rsid w:val="32E61FB7"/>
    <w:rsid w:val="3349228A"/>
    <w:rsid w:val="334D7931"/>
    <w:rsid w:val="33760038"/>
    <w:rsid w:val="344A1462"/>
    <w:rsid w:val="35007112"/>
    <w:rsid w:val="3538471B"/>
    <w:rsid w:val="354E434A"/>
    <w:rsid w:val="355D4899"/>
    <w:rsid w:val="35651D20"/>
    <w:rsid w:val="357B1FA8"/>
    <w:rsid w:val="35DE4BD9"/>
    <w:rsid w:val="35E02753"/>
    <w:rsid w:val="362F0EA3"/>
    <w:rsid w:val="3636463B"/>
    <w:rsid w:val="366753DC"/>
    <w:rsid w:val="366C5D54"/>
    <w:rsid w:val="369405F0"/>
    <w:rsid w:val="36DE12F2"/>
    <w:rsid w:val="37006181"/>
    <w:rsid w:val="376302F8"/>
    <w:rsid w:val="376B0DD8"/>
    <w:rsid w:val="37754C22"/>
    <w:rsid w:val="37A2797E"/>
    <w:rsid w:val="37A46C12"/>
    <w:rsid w:val="39126EC4"/>
    <w:rsid w:val="39561FEF"/>
    <w:rsid w:val="3A000D6F"/>
    <w:rsid w:val="3B1479D8"/>
    <w:rsid w:val="3B450E45"/>
    <w:rsid w:val="3B64273B"/>
    <w:rsid w:val="3BBB7067"/>
    <w:rsid w:val="3BC81A34"/>
    <w:rsid w:val="3C921909"/>
    <w:rsid w:val="3CB72D11"/>
    <w:rsid w:val="3D0E080C"/>
    <w:rsid w:val="3DA96E02"/>
    <w:rsid w:val="3DBFFBF0"/>
    <w:rsid w:val="3DC454EF"/>
    <w:rsid w:val="3DF2454E"/>
    <w:rsid w:val="3E140565"/>
    <w:rsid w:val="3E742234"/>
    <w:rsid w:val="3EA47565"/>
    <w:rsid w:val="3ED05677"/>
    <w:rsid w:val="3EF63F99"/>
    <w:rsid w:val="3F7B211F"/>
    <w:rsid w:val="3FBE7F13"/>
    <w:rsid w:val="3FF9698E"/>
    <w:rsid w:val="3FFD2B35"/>
    <w:rsid w:val="402E5885"/>
    <w:rsid w:val="408E3045"/>
    <w:rsid w:val="40E901A0"/>
    <w:rsid w:val="41494DE3"/>
    <w:rsid w:val="414A76CF"/>
    <w:rsid w:val="4164208C"/>
    <w:rsid w:val="41685B7A"/>
    <w:rsid w:val="420E40CE"/>
    <w:rsid w:val="42106E96"/>
    <w:rsid w:val="423D7815"/>
    <w:rsid w:val="425C1690"/>
    <w:rsid w:val="42AF11ED"/>
    <w:rsid w:val="42B25F39"/>
    <w:rsid w:val="4328518F"/>
    <w:rsid w:val="4334739A"/>
    <w:rsid w:val="4356724C"/>
    <w:rsid w:val="43743CE6"/>
    <w:rsid w:val="43DD7AE2"/>
    <w:rsid w:val="44040059"/>
    <w:rsid w:val="444200F5"/>
    <w:rsid w:val="4466124E"/>
    <w:rsid w:val="45054FDF"/>
    <w:rsid w:val="453F451F"/>
    <w:rsid w:val="45614516"/>
    <w:rsid w:val="458C3E37"/>
    <w:rsid w:val="45A7777B"/>
    <w:rsid w:val="45C6267D"/>
    <w:rsid w:val="45F40516"/>
    <w:rsid w:val="461C6EB7"/>
    <w:rsid w:val="464216D6"/>
    <w:rsid w:val="46D958AA"/>
    <w:rsid w:val="47470357"/>
    <w:rsid w:val="4795298A"/>
    <w:rsid w:val="490102F7"/>
    <w:rsid w:val="49027548"/>
    <w:rsid w:val="49A91C65"/>
    <w:rsid w:val="49C21F60"/>
    <w:rsid w:val="4A437992"/>
    <w:rsid w:val="4AA34422"/>
    <w:rsid w:val="4AB26488"/>
    <w:rsid w:val="4AC44633"/>
    <w:rsid w:val="4AEA53B9"/>
    <w:rsid w:val="4B6D78CD"/>
    <w:rsid w:val="4B815A7C"/>
    <w:rsid w:val="4B8C4A0A"/>
    <w:rsid w:val="4C6E62A3"/>
    <w:rsid w:val="4D0C6BFE"/>
    <w:rsid w:val="4E2C3320"/>
    <w:rsid w:val="4EC30EDE"/>
    <w:rsid w:val="4EFF4E69"/>
    <w:rsid w:val="4F544CA2"/>
    <w:rsid w:val="4F5A5BD2"/>
    <w:rsid w:val="50586F25"/>
    <w:rsid w:val="50BD1F39"/>
    <w:rsid w:val="51E30784"/>
    <w:rsid w:val="51F4643B"/>
    <w:rsid w:val="51FD0C55"/>
    <w:rsid w:val="52843CD5"/>
    <w:rsid w:val="52EB7EAE"/>
    <w:rsid w:val="53590226"/>
    <w:rsid w:val="53C63C53"/>
    <w:rsid w:val="53F66196"/>
    <w:rsid w:val="53FC471D"/>
    <w:rsid w:val="5490743D"/>
    <w:rsid w:val="54DD5EE3"/>
    <w:rsid w:val="550058CC"/>
    <w:rsid w:val="55D12672"/>
    <w:rsid w:val="55D7082B"/>
    <w:rsid w:val="56141C33"/>
    <w:rsid w:val="56660C90"/>
    <w:rsid w:val="56B62522"/>
    <w:rsid w:val="57095015"/>
    <w:rsid w:val="570B5583"/>
    <w:rsid w:val="57C53579"/>
    <w:rsid w:val="580B1D35"/>
    <w:rsid w:val="58180C22"/>
    <w:rsid w:val="58220F38"/>
    <w:rsid w:val="582D2ECA"/>
    <w:rsid w:val="586B2361"/>
    <w:rsid w:val="589E62EB"/>
    <w:rsid w:val="58D06FBA"/>
    <w:rsid w:val="58DC50C4"/>
    <w:rsid w:val="590A0F1B"/>
    <w:rsid w:val="5936284C"/>
    <w:rsid w:val="5A241243"/>
    <w:rsid w:val="5AE72A9B"/>
    <w:rsid w:val="5B6542FD"/>
    <w:rsid w:val="5B980885"/>
    <w:rsid w:val="5BC12002"/>
    <w:rsid w:val="5C1E636D"/>
    <w:rsid w:val="5C49779D"/>
    <w:rsid w:val="5CA61CC5"/>
    <w:rsid w:val="5CBC60F5"/>
    <w:rsid w:val="5CD47089"/>
    <w:rsid w:val="5CEE60FC"/>
    <w:rsid w:val="5D1319DA"/>
    <w:rsid w:val="5D1A27D4"/>
    <w:rsid w:val="5D513758"/>
    <w:rsid w:val="5DF72B16"/>
    <w:rsid w:val="5ED118B3"/>
    <w:rsid w:val="5EDA4AF4"/>
    <w:rsid w:val="5F142678"/>
    <w:rsid w:val="5F20356F"/>
    <w:rsid w:val="5F87745E"/>
    <w:rsid w:val="60650C24"/>
    <w:rsid w:val="60E16DC7"/>
    <w:rsid w:val="611C2FBF"/>
    <w:rsid w:val="61557096"/>
    <w:rsid w:val="619A1751"/>
    <w:rsid w:val="622171F9"/>
    <w:rsid w:val="62317338"/>
    <w:rsid w:val="62407B32"/>
    <w:rsid w:val="62C46226"/>
    <w:rsid w:val="62C523FB"/>
    <w:rsid w:val="62EA6AD3"/>
    <w:rsid w:val="63103592"/>
    <w:rsid w:val="641E3E83"/>
    <w:rsid w:val="642812A6"/>
    <w:rsid w:val="648F14D8"/>
    <w:rsid w:val="64A241DD"/>
    <w:rsid w:val="653E3F84"/>
    <w:rsid w:val="65AB796D"/>
    <w:rsid w:val="65C42D57"/>
    <w:rsid w:val="66206A18"/>
    <w:rsid w:val="662E7EAC"/>
    <w:rsid w:val="66354F05"/>
    <w:rsid w:val="66584300"/>
    <w:rsid w:val="66D06D96"/>
    <w:rsid w:val="66D122FD"/>
    <w:rsid w:val="66FC791B"/>
    <w:rsid w:val="66FE1281"/>
    <w:rsid w:val="6746681E"/>
    <w:rsid w:val="676905E0"/>
    <w:rsid w:val="67CB102B"/>
    <w:rsid w:val="67EA409E"/>
    <w:rsid w:val="67F34959"/>
    <w:rsid w:val="682965BB"/>
    <w:rsid w:val="683A4A13"/>
    <w:rsid w:val="68570C03"/>
    <w:rsid w:val="689E3B8A"/>
    <w:rsid w:val="69947CD7"/>
    <w:rsid w:val="69F262CB"/>
    <w:rsid w:val="6A4E798D"/>
    <w:rsid w:val="6A7D3FB6"/>
    <w:rsid w:val="6B133AE7"/>
    <w:rsid w:val="6B1D5E72"/>
    <w:rsid w:val="6B3E28C1"/>
    <w:rsid w:val="6B4B046E"/>
    <w:rsid w:val="6B7E4C5D"/>
    <w:rsid w:val="6BCFCE22"/>
    <w:rsid w:val="6C8359F4"/>
    <w:rsid w:val="6C895281"/>
    <w:rsid w:val="6D434595"/>
    <w:rsid w:val="6D9F3FE9"/>
    <w:rsid w:val="6DB4076A"/>
    <w:rsid w:val="6DB822B1"/>
    <w:rsid w:val="6DC95F17"/>
    <w:rsid w:val="6DF777CB"/>
    <w:rsid w:val="6E190503"/>
    <w:rsid w:val="6E261E32"/>
    <w:rsid w:val="6E5A218B"/>
    <w:rsid w:val="6E6848B4"/>
    <w:rsid w:val="6EC727D8"/>
    <w:rsid w:val="6F2B6AC3"/>
    <w:rsid w:val="6FC51CA8"/>
    <w:rsid w:val="6FFA819D"/>
    <w:rsid w:val="703E10E5"/>
    <w:rsid w:val="70634617"/>
    <w:rsid w:val="70636969"/>
    <w:rsid w:val="70E5442F"/>
    <w:rsid w:val="715167AF"/>
    <w:rsid w:val="716122BB"/>
    <w:rsid w:val="724F65E2"/>
    <w:rsid w:val="7282376A"/>
    <w:rsid w:val="728C1B45"/>
    <w:rsid w:val="729B008A"/>
    <w:rsid w:val="72BF0364"/>
    <w:rsid w:val="74117B3F"/>
    <w:rsid w:val="742862C6"/>
    <w:rsid w:val="750924D8"/>
    <w:rsid w:val="75E225A7"/>
    <w:rsid w:val="7629262A"/>
    <w:rsid w:val="77012625"/>
    <w:rsid w:val="77281E9E"/>
    <w:rsid w:val="77871237"/>
    <w:rsid w:val="77911727"/>
    <w:rsid w:val="77D5110C"/>
    <w:rsid w:val="78704DF0"/>
    <w:rsid w:val="78C91B36"/>
    <w:rsid w:val="78D322D8"/>
    <w:rsid w:val="78EC0CB4"/>
    <w:rsid w:val="793255E3"/>
    <w:rsid w:val="797C4DD7"/>
    <w:rsid w:val="79F07379"/>
    <w:rsid w:val="79F931E1"/>
    <w:rsid w:val="7A027492"/>
    <w:rsid w:val="7A1220CC"/>
    <w:rsid w:val="7A575F57"/>
    <w:rsid w:val="7A924673"/>
    <w:rsid w:val="7AA6386B"/>
    <w:rsid w:val="7AB11687"/>
    <w:rsid w:val="7ACF6635"/>
    <w:rsid w:val="7B1EE665"/>
    <w:rsid w:val="7B271B5B"/>
    <w:rsid w:val="7B315461"/>
    <w:rsid w:val="7BAF03F7"/>
    <w:rsid w:val="7BDD38DF"/>
    <w:rsid w:val="7BF904A3"/>
    <w:rsid w:val="7C26131F"/>
    <w:rsid w:val="7C2720F2"/>
    <w:rsid w:val="7C43714C"/>
    <w:rsid w:val="7C46246B"/>
    <w:rsid w:val="7CCD1A56"/>
    <w:rsid w:val="7D0A08A1"/>
    <w:rsid w:val="7D1F32AC"/>
    <w:rsid w:val="7DAE6C72"/>
    <w:rsid w:val="7DC2312C"/>
    <w:rsid w:val="7DD81917"/>
    <w:rsid w:val="7DDE4768"/>
    <w:rsid w:val="7E0F7ABB"/>
    <w:rsid w:val="7E3712E7"/>
    <w:rsid w:val="7E6B31AE"/>
    <w:rsid w:val="7EB60008"/>
    <w:rsid w:val="7EDC30EB"/>
    <w:rsid w:val="7EEF2C4C"/>
    <w:rsid w:val="7EF8136D"/>
    <w:rsid w:val="7F267F08"/>
    <w:rsid w:val="7F3FD8F5"/>
    <w:rsid w:val="7F4FF76D"/>
    <w:rsid w:val="7F577294"/>
    <w:rsid w:val="7FBC5A7C"/>
    <w:rsid w:val="7FC3027E"/>
    <w:rsid w:val="B6DFD99A"/>
    <w:rsid w:val="BF47EA16"/>
    <w:rsid w:val="CFEF73C2"/>
    <w:rsid w:val="E74DD106"/>
    <w:rsid w:val="EAF9AAD5"/>
    <w:rsid w:val="EBFDE926"/>
    <w:rsid w:val="ECDCB5FD"/>
    <w:rsid w:val="EEF79D81"/>
    <w:rsid w:val="FBF59284"/>
    <w:rsid w:val="FD77ADB3"/>
    <w:rsid w:val="FEFDF03F"/>
    <w:rsid w:val="FEFF59ED"/>
    <w:rsid w:val="FF8F13CE"/>
    <w:rsid w:val="FFDADA8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name="index 1"/>
    <w:lsdException w:qFormat="1"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tabs>
        <w:tab w:val="left" w:pos="1830"/>
      </w:tabs>
      <w:ind w:left="1830" w:hanging="360"/>
      <w:outlineLvl w:val="0"/>
    </w:pPr>
    <w:rPr>
      <w:rFonts w:ascii="Arial" w:hAnsi="Arial" w:eastAsia="仿宋_GB2312"/>
      <w:sz w:val="28"/>
      <w:szCs w:val="20"/>
      <w:lang w:bidi="he-IL"/>
    </w:rPr>
  </w:style>
  <w:style w:type="paragraph" w:styleId="3">
    <w:name w:val="heading 2"/>
    <w:basedOn w:val="1"/>
    <w:next w:val="1"/>
    <w:link w:val="35"/>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unhideWhenUsed/>
    <w:qFormat/>
    <w:uiPriority w:val="0"/>
    <w:pPr>
      <w:keepNext/>
      <w:keepLines/>
      <w:spacing w:before="260" w:after="260" w:line="413" w:lineRule="auto"/>
      <w:outlineLvl w:val="2"/>
    </w:pPr>
    <w:rPr>
      <w:b/>
      <w:sz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link w:val="37"/>
    <w:qFormat/>
    <w:uiPriority w:val="0"/>
    <w:pPr>
      <w:spacing w:after="120"/>
    </w:pPr>
  </w:style>
  <w:style w:type="paragraph" w:styleId="7">
    <w:name w:val="Body Text Indent"/>
    <w:basedOn w:val="1"/>
    <w:qFormat/>
    <w:uiPriority w:val="99"/>
    <w:pPr>
      <w:ind w:firstLine="540"/>
    </w:pPr>
    <w:rPr>
      <w:rFonts w:eastAsia="仿宋_GB2312"/>
      <w:sz w:val="28"/>
    </w:rPr>
  </w:style>
  <w:style w:type="paragraph" w:styleId="8">
    <w:name w:val="index 4"/>
    <w:basedOn w:val="1"/>
    <w:next w:val="1"/>
    <w:qFormat/>
    <w:uiPriority w:val="99"/>
    <w:pPr>
      <w:ind w:left="600" w:leftChars="600"/>
    </w:pPr>
    <w:rPr>
      <w:rFonts w:ascii="Calibri" w:hAnsi="Calibri"/>
      <w:szCs w:val="24"/>
    </w:rPr>
  </w:style>
  <w:style w:type="paragraph" w:styleId="9">
    <w:name w:val="Plain Text"/>
    <w:basedOn w:val="1"/>
    <w:qFormat/>
    <w:uiPriority w:val="0"/>
    <w:rPr>
      <w:rFonts w:ascii="宋体" w:hAnsi="Courier New"/>
    </w:rPr>
  </w:style>
  <w:style w:type="paragraph" w:styleId="10">
    <w:name w:val="Balloon Text"/>
    <w:basedOn w:val="1"/>
    <w:link w:val="36"/>
    <w:qFormat/>
    <w:uiPriority w:val="0"/>
    <w:rPr>
      <w:sz w:val="18"/>
      <w:szCs w:val="18"/>
    </w:rPr>
  </w:style>
  <w:style w:type="paragraph" w:styleId="11">
    <w:name w:val="footer"/>
    <w:basedOn w:val="1"/>
    <w:link w:val="49"/>
    <w:qFormat/>
    <w:uiPriority w:val="99"/>
    <w:pPr>
      <w:tabs>
        <w:tab w:val="center" w:pos="4153"/>
        <w:tab w:val="right" w:pos="8306"/>
      </w:tabs>
      <w:snapToGrid w:val="0"/>
      <w:jc w:val="left"/>
    </w:pPr>
    <w:rPr>
      <w:sz w:val="18"/>
      <w:szCs w:val="20"/>
      <w:lang w:bidi="he-IL"/>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4"/>
    <w:next w:val="1"/>
    <w:qFormat/>
    <w:uiPriority w:val="39"/>
    <w:rPr>
      <w:rFonts w:eastAsia="黑体"/>
      <w:sz w:val="28"/>
    </w:rPr>
  </w:style>
  <w:style w:type="paragraph" w:styleId="14">
    <w:name w:val="index 1"/>
    <w:basedOn w:val="1"/>
    <w:next w:val="1"/>
    <w:semiHidden/>
    <w:qFormat/>
    <w:uiPriority w:val="0"/>
    <w:rPr>
      <w:rFonts w:eastAsia="仿宋_GB2312"/>
      <w:b/>
      <w:sz w:val="24"/>
      <w:szCs w:val="20"/>
    </w:rPr>
  </w:style>
  <w:style w:type="paragraph" w:styleId="15">
    <w:name w:val="toc 2"/>
    <w:basedOn w:val="1"/>
    <w:next w:val="1"/>
    <w:qFormat/>
    <w:uiPriority w:val="39"/>
    <w:pPr>
      <w:ind w:left="420"/>
    </w:pPr>
    <w:rPr>
      <w:rFonts w:eastAsia="仿宋_GB2312"/>
      <w:b/>
      <w:sz w:val="24"/>
    </w:rPr>
  </w:style>
  <w:style w:type="paragraph" w:styleId="16">
    <w:name w:val="Normal (Web)"/>
    <w:basedOn w:val="1"/>
    <w:qFormat/>
    <w:uiPriority w:val="0"/>
    <w:pPr>
      <w:spacing w:beforeAutospacing="1" w:afterAutospacing="1"/>
      <w:jc w:val="left"/>
    </w:pPr>
    <w:rPr>
      <w:kern w:val="0"/>
      <w:sz w:val="24"/>
    </w:rPr>
  </w:style>
  <w:style w:type="paragraph" w:styleId="17">
    <w:name w:val="index 2"/>
    <w:basedOn w:val="1"/>
    <w:next w:val="1"/>
    <w:qFormat/>
    <w:uiPriority w:val="0"/>
    <w:pPr>
      <w:ind w:left="200" w:leftChars="200"/>
    </w:pPr>
    <w:rPr>
      <w:szCs w:val="20"/>
    </w:rPr>
  </w:style>
  <w:style w:type="paragraph" w:styleId="18">
    <w:name w:val="Body Text First Indent"/>
    <w:basedOn w:val="6"/>
    <w:link w:val="38"/>
    <w:unhideWhenUsed/>
    <w:qFormat/>
    <w:uiPriority w:val="99"/>
    <w:pPr>
      <w:spacing w:line="400" w:lineRule="atLeast"/>
      <w:ind w:firstLine="426"/>
    </w:pPr>
    <w:rPr>
      <w:sz w:val="24"/>
      <w:szCs w:val="20"/>
    </w:rPr>
  </w:style>
  <w:style w:type="paragraph" w:styleId="19">
    <w:name w:val="Body Text First Indent 2"/>
    <w:basedOn w:val="7"/>
    <w:qFormat/>
    <w:uiPriority w:val="99"/>
    <w:pPr>
      <w:spacing w:before="100" w:beforeAutospacing="1" w:after="120" w:line="360" w:lineRule="auto"/>
      <w:ind w:left="420" w:leftChars="200" w:firstLine="420" w:firstLineChars="200"/>
    </w:pPr>
    <w:rPr>
      <w:rFonts w:ascii="Times New Roman"/>
      <w:sz w:val="21"/>
      <w:szCs w:val="21"/>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basedOn w:val="22"/>
    <w:qFormat/>
    <w:uiPriority w:val="0"/>
  </w:style>
  <w:style w:type="character" w:styleId="24">
    <w:name w:val="Emphasis"/>
    <w:basedOn w:val="22"/>
    <w:qFormat/>
    <w:uiPriority w:val="0"/>
    <w:rPr>
      <w:color w:val="CC0000"/>
    </w:rPr>
  </w:style>
  <w:style w:type="character" w:styleId="25">
    <w:name w:val="Hyperlink"/>
    <w:qFormat/>
    <w:uiPriority w:val="99"/>
    <w:rPr>
      <w:color w:val="0000FF"/>
      <w:u w:val="single"/>
    </w:rPr>
  </w:style>
  <w:style w:type="character" w:styleId="26">
    <w:name w:val="HTML Cite"/>
    <w:basedOn w:val="22"/>
    <w:qFormat/>
    <w:uiPriority w:val="0"/>
    <w:rPr>
      <w:color w:val="008000"/>
    </w:rPr>
  </w:style>
  <w:style w:type="character" w:styleId="27">
    <w:name w:val="HTML Sample"/>
    <w:basedOn w:val="22"/>
    <w:qFormat/>
    <w:uiPriority w:val="0"/>
    <w:rPr>
      <w:rFonts w:ascii="monospace" w:hAnsi="monospace" w:eastAsia="monospace" w:cs="monospace"/>
    </w:rPr>
  </w:style>
  <w:style w:type="paragraph" w:customStyle="1" w:styleId="28">
    <w:name w:val="BodyText"/>
    <w:basedOn w:val="1"/>
    <w:next w:val="1"/>
    <w:qFormat/>
    <w:uiPriority w:val="0"/>
    <w:pPr>
      <w:jc w:val="center"/>
    </w:pPr>
  </w:style>
  <w:style w:type="paragraph" w:customStyle="1" w:styleId="29">
    <w:name w:val="章标题"/>
    <w:basedOn w:val="1"/>
    <w:qFormat/>
    <w:uiPriority w:val="0"/>
    <w:pPr>
      <w:jc w:val="center"/>
    </w:pPr>
    <w:rPr>
      <w:rFonts w:ascii="宋体" w:hAnsi="宋体" w:eastAsia="黑体"/>
      <w:b/>
      <w:sz w:val="28"/>
      <w:szCs w:val="30"/>
    </w:rPr>
  </w:style>
  <w:style w:type="paragraph" w:customStyle="1" w:styleId="30">
    <w:name w:val="GW-正文"/>
    <w:basedOn w:val="1"/>
    <w:qFormat/>
    <w:uiPriority w:val="0"/>
    <w:pPr>
      <w:spacing w:line="360" w:lineRule="auto"/>
      <w:ind w:firstLine="200" w:firstLineChars="200"/>
      <w:contextualSpacing/>
    </w:pPr>
  </w:style>
  <w:style w:type="paragraph" w:customStyle="1" w:styleId="31">
    <w:name w:val="p0"/>
    <w:basedOn w:val="1"/>
    <w:qFormat/>
    <w:uiPriority w:val="0"/>
    <w:pPr>
      <w:widowControl/>
    </w:pPr>
    <w:rPr>
      <w:kern w:val="0"/>
      <w:szCs w:val="21"/>
    </w:rPr>
  </w:style>
  <w:style w:type="paragraph" w:customStyle="1" w:styleId="32">
    <w:name w:val="节标题"/>
    <w:basedOn w:val="1"/>
    <w:qFormat/>
    <w:uiPriority w:val="0"/>
    <w:pPr>
      <w:ind w:firstLine="1928" w:firstLineChars="800"/>
    </w:pPr>
    <w:rPr>
      <w:rFonts w:ascii="宋体" w:hAnsi="宋体" w:cs="Arial"/>
      <w:b/>
    </w:rPr>
  </w:style>
  <w:style w:type="paragraph" w:customStyle="1" w:styleId="33">
    <w:name w:val="D&amp;L"/>
    <w:basedOn w:val="12"/>
    <w:qFormat/>
    <w:uiPriority w:val="0"/>
    <w:pPr>
      <w:pBdr>
        <w:bottom w:val="thinThickSmallGap" w:color="auto" w:sz="18" w:space="1"/>
      </w:pBdr>
      <w:adjustRightInd w:val="0"/>
      <w:snapToGrid/>
      <w:spacing w:line="240" w:lineRule="atLeast"/>
      <w:textAlignment w:val="baseline"/>
    </w:pPr>
    <w:rPr>
      <w:kern w:val="0"/>
      <w:sz w:val="24"/>
      <w:szCs w:val="20"/>
    </w:rPr>
  </w:style>
  <w:style w:type="character" w:customStyle="1" w:styleId="34">
    <w:name w:val="fontstyle01"/>
    <w:qFormat/>
    <w:uiPriority w:val="0"/>
    <w:rPr>
      <w:rFonts w:hint="eastAsia" w:ascii="宋体" w:hAnsi="宋体" w:eastAsia="宋体"/>
      <w:color w:val="000000"/>
      <w:sz w:val="24"/>
      <w:szCs w:val="24"/>
    </w:rPr>
  </w:style>
  <w:style w:type="character" w:customStyle="1" w:styleId="35">
    <w:name w:val="标题 2 Char"/>
    <w:link w:val="3"/>
    <w:qFormat/>
    <w:uiPriority w:val="0"/>
    <w:rPr>
      <w:rFonts w:ascii="Arial" w:hAnsi="Arial" w:eastAsia="黑体"/>
      <w:b/>
      <w:bCs/>
      <w:sz w:val="32"/>
      <w:szCs w:val="32"/>
    </w:rPr>
  </w:style>
  <w:style w:type="character" w:customStyle="1" w:styleId="36">
    <w:name w:val="批注框文本 Char"/>
    <w:basedOn w:val="22"/>
    <w:link w:val="10"/>
    <w:qFormat/>
    <w:uiPriority w:val="0"/>
    <w:rPr>
      <w:kern w:val="2"/>
      <w:sz w:val="18"/>
      <w:szCs w:val="18"/>
    </w:rPr>
  </w:style>
  <w:style w:type="character" w:customStyle="1" w:styleId="37">
    <w:name w:val="正文文本 Char"/>
    <w:basedOn w:val="22"/>
    <w:link w:val="6"/>
    <w:qFormat/>
    <w:uiPriority w:val="0"/>
    <w:rPr>
      <w:kern w:val="2"/>
      <w:sz w:val="21"/>
      <w:szCs w:val="24"/>
    </w:rPr>
  </w:style>
  <w:style w:type="character" w:customStyle="1" w:styleId="38">
    <w:name w:val="正文首行缩进 Char"/>
    <w:basedOn w:val="37"/>
    <w:link w:val="18"/>
    <w:qFormat/>
    <w:uiPriority w:val="99"/>
    <w:rPr>
      <w:kern w:val="2"/>
      <w:sz w:val="24"/>
      <w:szCs w:val="24"/>
    </w:rPr>
  </w:style>
  <w:style w:type="paragraph" w:customStyle="1" w:styleId="39">
    <w:name w:val="列出段落1"/>
    <w:basedOn w:val="1"/>
    <w:qFormat/>
    <w:uiPriority w:val="34"/>
    <w:pPr>
      <w:ind w:firstLine="420" w:firstLineChars="200"/>
    </w:pPr>
    <w:rPr>
      <w:rFonts w:ascii="Calibri" w:hAnsi="Calibri"/>
      <w:szCs w:val="22"/>
    </w:rPr>
  </w:style>
  <w:style w:type="character" w:customStyle="1" w:styleId="40">
    <w:name w:val="c-icon13"/>
    <w:basedOn w:val="22"/>
    <w:qFormat/>
    <w:uiPriority w:val="0"/>
  </w:style>
  <w:style w:type="character" w:customStyle="1" w:styleId="41">
    <w:name w:val="c-icon14"/>
    <w:basedOn w:val="22"/>
    <w:qFormat/>
    <w:uiPriority w:val="0"/>
  </w:style>
  <w:style w:type="character" w:customStyle="1" w:styleId="42">
    <w:name w:val="hover18"/>
    <w:basedOn w:val="22"/>
    <w:qFormat/>
    <w:uiPriority w:val="0"/>
  </w:style>
  <w:style w:type="character" w:customStyle="1" w:styleId="43">
    <w:name w:val="hover19"/>
    <w:basedOn w:val="22"/>
    <w:qFormat/>
    <w:uiPriority w:val="0"/>
    <w:rPr>
      <w:color w:val="315EFB"/>
    </w:rPr>
  </w:style>
  <w:style w:type="character" w:customStyle="1" w:styleId="44">
    <w:name w:val="c-icon28"/>
    <w:basedOn w:val="22"/>
    <w:qFormat/>
    <w:uiPriority w:val="0"/>
  </w:style>
  <w:style w:type="character" w:customStyle="1" w:styleId="45">
    <w:name w:val="c-icon26"/>
    <w:basedOn w:val="22"/>
    <w:qFormat/>
    <w:uiPriority w:val="0"/>
  </w:style>
  <w:style w:type="paragraph" w:customStyle="1" w:styleId="46">
    <w:name w:val="列出段落2"/>
    <w:basedOn w:val="1"/>
    <w:qFormat/>
    <w:uiPriority w:val="34"/>
    <w:pPr>
      <w:ind w:firstLine="420" w:firstLineChars="200"/>
    </w:pPr>
    <w:rPr>
      <w:kern w:val="0"/>
      <w:sz w:val="20"/>
      <w:szCs w:val="20"/>
    </w:rPr>
  </w:style>
  <w:style w:type="character" w:customStyle="1" w:styleId="47">
    <w:name w:val="font41"/>
    <w:basedOn w:val="22"/>
    <w:qFormat/>
    <w:uiPriority w:val="0"/>
    <w:rPr>
      <w:rFonts w:hint="default" w:ascii="等线" w:hAnsi="等线" w:eastAsia="等线" w:cs="等线"/>
      <w:color w:val="000000"/>
      <w:sz w:val="22"/>
      <w:szCs w:val="22"/>
      <w:u w:val="none"/>
    </w:rPr>
  </w:style>
  <w:style w:type="character" w:customStyle="1" w:styleId="48">
    <w:name w:val="font01"/>
    <w:basedOn w:val="22"/>
    <w:qFormat/>
    <w:uiPriority w:val="0"/>
    <w:rPr>
      <w:rFonts w:ascii="DengXian ( 正文 )" w:hAnsi="DengXian ( 正文 )" w:eastAsia="DengXian ( 正文 )" w:cs="DengXian ( 正文 )"/>
      <w:color w:val="000000"/>
      <w:sz w:val="22"/>
      <w:szCs w:val="22"/>
      <w:u w:val="none"/>
    </w:rPr>
  </w:style>
  <w:style w:type="character" w:customStyle="1" w:styleId="49">
    <w:name w:val="页脚 Char"/>
    <w:link w:val="11"/>
    <w:qFormat/>
    <w:uiPriority w:val="99"/>
    <w:rPr>
      <w:rFonts w:ascii="Times New Roman" w:hAnsi="Times New Roman"/>
      <w:kern w:val="2"/>
      <w:sz w:val="18"/>
      <w:lang w:bidi="he-IL"/>
    </w:rPr>
  </w:style>
  <w:style w:type="paragraph" w:customStyle="1" w:styleId="50">
    <w:name w:val="样式1"/>
    <w:basedOn w:val="1"/>
    <w:qFormat/>
    <w:uiPriority w:val="0"/>
    <w:pPr>
      <w:spacing w:line="360" w:lineRule="auto"/>
      <w:ind w:firstLine="643" w:firstLineChars="200"/>
    </w:pPr>
    <w:rPr>
      <w:rFonts w:hint="eastAsia" w:ascii="宋体" w:hAnsi="宋体" w:cs="宋体"/>
      <w:sz w:val="24"/>
    </w:rPr>
  </w:style>
  <w:style w:type="paragraph" w:styleId="51">
    <w:name w:val="List Paragraph"/>
    <w:basedOn w:val="1"/>
    <w:qFormat/>
    <w:uiPriority w:val="34"/>
    <w:pPr>
      <w:spacing w:after="160" w:line="278" w:lineRule="auto"/>
      <w:ind w:left="720"/>
      <w:contextualSpacing/>
      <w:jc w:val="left"/>
    </w:pPr>
    <w:rPr>
      <w:rFonts w:asciiTheme="minorHAnsi" w:hAnsiTheme="minorHAnsi" w:eastAsiaTheme="minorEastAsia" w:cstheme="minorBidi"/>
      <w:sz w:val="22"/>
      <w:szCs w:val="24"/>
      <w14:ligatures w14:val="standardContextual"/>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10176</Words>
  <Characters>10711</Characters>
  <Lines>130</Lines>
  <Paragraphs>36</Paragraphs>
  <TotalTime>0</TotalTime>
  <ScaleCrop>false</ScaleCrop>
  <LinksUpToDate>false</LinksUpToDate>
  <CharactersWithSpaces>11156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2020-02-04T00:14:00Z</dcterms:created>
  <dc:creator>Vincent</dc:creator>
  <cp:lastModifiedBy>99特工</cp:lastModifiedBy>
  <cp:lastPrinted>2020-05-07T00:01:00Z</cp:lastPrinted>
  <dcterms:modified xsi:type="dcterms:W3CDTF">2026-01-12T07:41:48Z</dcterms:modified>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4DFDBBC9CF744F1585C248C82753E305</vt:lpwstr>
  </property>
  <property fmtid="{D5CDD505-2E9C-101B-9397-08002B2CF9AE}" pid="4" name="KSOTemplateDocerSaveRecord">
    <vt:lpwstr>eyJoZGlkIjoiOWMxYTFkNGZjM2ZjMmIxNDhlOWJmZDVjM2IyYzIzZTkiLCJ1c2VySWQiOiIxMTUyMzM2NjU4In0=</vt:lpwstr>
  </property>
</Properties>
</file>