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08日17:00时之前联系设备科咨询。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0A47F9A0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21C2A952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雷帕霉素药物洗脱椎动脉支架系统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5397" w:type="pct"/>
        <w:tblInd w:w="-2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839"/>
        <w:gridCol w:w="885"/>
        <w:gridCol w:w="765"/>
        <w:gridCol w:w="900"/>
        <w:gridCol w:w="645"/>
        <w:gridCol w:w="975"/>
        <w:gridCol w:w="3135"/>
        <w:gridCol w:w="900"/>
        <w:gridCol w:w="1065"/>
        <w:gridCol w:w="1155"/>
        <w:gridCol w:w="2340"/>
      </w:tblGrid>
      <w:tr w14:paraId="2FCE4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019A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00" w:type="pct"/>
            <w:vAlign w:val="center"/>
          </w:tcPr>
          <w:p w14:paraId="352EE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89" w:type="pct"/>
            <w:vAlign w:val="center"/>
          </w:tcPr>
          <w:p w14:paraId="5D80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50" w:type="pct"/>
            <w:vAlign w:val="center"/>
          </w:tcPr>
          <w:p w14:paraId="4938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94" w:type="pct"/>
            <w:vAlign w:val="center"/>
          </w:tcPr>
          <w:p w14:paraId="462C8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210" w:type="pct"/>
            <w:vAlign w:val="center"/>
          </w:tcPr>
          <w:p w14:paraId="4FE6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318" w:type="pct"/>
            <w:vAlign w:val="center"/>
          </w:tcPr>
          <w:p w14:paraId="38B76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pct"/>
            <w:vAlign w:val="center"/>
          </w:tcPr>
          <w:p w14:paraId="41DB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294" w:type="pct"/>
            <w:vAlign w:val="center"/>
          </w:tcPr>
          <w:p w14:paraId="2DAE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48" w:type="pct"/>
            <w:vAlign w:val="center"/>
          </w:tcPr>
          <w:p w14:paraId="40DED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377" w:type="pct"/>
            <w:vAlign w:val="center"/>
          </w:tcPr>
          <w:p w14:paraId="2C284F6F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764" w:type="pct"/>
            <w:vAlign w:val="center"/>
          </w:tcPr>
          <w:p w14:paraId="60AF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0D2F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403F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pct"/>
            <w:vAlign w:val="center"/>
          </w:tcPr>
          <w:p w14:paraId="77CCF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微软雅黑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雷帕霉素药物洗脱椎动脉支架系统</w:t>
            </w:r>
          </w:p>
        </w:tc>
        <w:tc>
          <w:tcPr>
            <w:tcW w:w="289" w:type="pct"/>
            <w:vAlign w:val="center"/>
          </w:tcPr>
          <w:p w14:paraId="3DF54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2EE64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65E0D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0AA26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18" w:type="pct"/>
            <w:vAlign w:val="center"/>
          </w:tcPr>
          <w:p w14:paraId="1778B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24" w:type="pct"/>
            <w:vAlign w:val="center"/>
          </w:tcPr>
          <w:p w14:paraId="0535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由药物涂层支架和输送系统组成，适用于症状性椎动脉颅外段狭窄的扩张，显著降低再狭窄率。</w:t>
            </w:r>
          </w:p>
        </w:tc>
        <w:tc>
          <w:tcPr>
            <w:tcW w:w="294" w:type="pct"/>
            <w:vAlign w:val="center"/>
          </w:tcPr>
          <w:p w14:paraId="7B0B0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48" w:type="pct"/>
            <w:vAlign w:val="center"/>
          </w:tcPr>
          <w:p w14:paraId="3B71C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77" w:type="pct"/>
            <w:vAlign w:val="center"/>
          </w:tcPr>
          <w:p w14:paraId="121E3DF7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64" w:type="pct"/>
            <w:vAlign w:val="center"/>
          </w:tcPr>
          <w:p w14:paraId="4C02D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供货前网采平台配送关系需建立，满足采购需求即可不要求品名一致，此类产品已带量仅接受带量产品报价。</w:t>
            </w:r>
          </w:p>
        </w:tc>
      </w:tr>
    </w:tbl>
    <w:p w14:paraId="34B2C83D">
      <w:pPr>
        <w:widowControl w:val="0"/>
        <w:numPr>
          <w:ilvl w:val="0"/>
          <w:numId w:val="0"/>
        </w:numPr>
        <w:ind w:firstLine="562" w:firstLineChars="200"/>
        <w:jc w:val="both"/>
        <w:rPr>
          <w:rFonts w:hint="eastAsia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25786CC3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</w:p>
    <w:p w14:paraId="0B6FA3B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266198"/>
    <w:rsid w:val="46454EEA"/>
    <w:rsid w:val="5A06699B"/>
    <w:rsid w:val="7BCC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684</Words>
  <Characters>739</Characters>
  <Lines>0</Lines>
  <Paragraphs>0</Paragraphs>
  <TotalTime>4</TotalTime>
  <ScaleCrop>false</ScaleCrop>
  <LinksUpToDate>false</LinksUpToDate>
  <CharactersWithSpaces>797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2025-11-20T07:46:00Z</dcterms:created>
  <dc:creator>Administrator</dc:creator>
  <cp:lastModifiedBy>微信用户</cp:lastModifiedBy>
  <dcterms:modified xsi:type="dcterms:W3CDTF">2026-01-06T02:38:36Z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24A21543E94E4DBD80343609DDDA1B2A_12</vt:lpwstr>
  </property>
</Properties>
</file>