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napToGrid w:val="0"/>
        <w:spacing w:line="360" w:lineRule="auto"/>
        <w:jc w:val="center"/>
        <w:textAlignment w:val="auto"/>
        <w:outlineLvl w:val="0"/>
        <w:rPr>
          <w:rFonts w:hint="eastAsia" w:ascii="宋体" w:hAnsi="宋体" w:eastAsia="宋体"/>
          <w:b/>
          <w:color w:val="auto"/>
          <w:sz w:val="32"/>
          <w:szCs w:val="32"/>
          <w:highlight w:val="none"/>
          <w:lang w:val="en-US" w:eastAsia="zh-CN"/>
        </w:rPr>
      </w:pPr>
      <w:bookmarkStart w:id="0" w:name="_GoBack"/>
      <w:bookmarkEnd w:id="0"/>
      <w:r>
        <w:rPr>
          <w:rFonts w:hint="eastAsia" w:ascii="宋体" w:hAnsi="宋体" w:eastAsia="宋体"/>
          <w:b/>
          <w:color w:val="auto"/>
          <w:sz w:val="32"/>
          <w:szCs w:val="32"/>
          <w:highlight w:val="none"/>
          <w:lang w:val="en-US" w:eastAsia="zh-CN"/>
        </w:rPr>
        <w:t>采购需求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0" w:leftChars="0" w:right="0" w:rightChars="0" w:firstLine="0" w:firstLineChars="0"/>
        <w:jc w:val="left"/>
        <w:textAlignment w:val="auto"/>
        <w:outlineLvl w:val="9"/>
        <w:rPr>
          <w:rFonts w:hint="default" w:ascii="仿宋_GB2312" w:hAnsi="仿宋_GB2312" w:eastAsia="仿宋_GB2312" w:cs="仿宋_GB2312"/>
          <w:b/>
          <w:bCs/>
          <w:sz w:val="24"/>
          <w:szCs w:val="24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24"/>
          <w:szCs w:val="24"/>
          <w:lang w:val="en-US" w:eastAsia="zh-CN"/>
        </w:rPr>
        <w:t>一、采购清单：</w:t>
      </w:r>
    </w:p>
    <w:tbl>
      <w:tblPr>
        <w:tblStyle w:val="3"/>
        <w:tblW w:w="85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63"/>
        <w:gridCol w:w="2433"/>
        <w:gridCol w:w="960"/>
        <w:gridCol w:w="807"/>
        <w:gridCol w:w="2038"/>
        <w:gridCol w:w="142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6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right="0" w:rightChars="0"/>
              <w:jc w:val="center"/>
              <w:textAlignment w:val="auto"/>
              <w:outlineLvl w:val="9"/>
              <w:rPr>
                <w:rFonts w:hint="default" w:ascii="仿宋_GB2312" w:hAnsi="仿宋_GB2312" w:eastAsia="仿宋_GB2312" w:cs="仿宋_GB2312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vertAlign w:val="baseline"/>
                <w:lang w:val="en-US" w:eastAsia="zh-CN"/>
              </w:rPr>
              <w:t>序号</w:t>
            </w:r>
          </w:p>
        </w:tc>
        <w:tc>
          <w:tcPr>
            <w:tcW w:w="243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right="0" w:rightChars="0"/>
              <w:jc w:val="center"/>
              <w:textAlignment w:val="auto"/>
              <w:outlineLvl w:val="9"/>
              <w:rPr>
                <w:rFonts w:hint="default" w:ascii="仿宋_GB2312" w:hAnsi="仿宋_GB2312" w:eastAsia="仿宋_GB2312" w:cs="仿宋_GB2312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vertAlign w:val="baseline"/>
                <w:lang w:val="en-US" w:eastAsia="zh-CN"/>
              </w:rPr>
              <w:t>产品名称</w:t>
            </w:r>
          </w:p>
        </w:tc>
        <w:tc>
          <w:tcPr>
            <w:tcW w:w="96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right="0" w:rightChars="0"/>
              <w:jc w:val="center"/>
              <w:textAlignment w:val="auto"/>
              <w:outlineLvl w:val="9"/>
              <w:rPr>
                <w:rFonts w:hint="default" w:ascii="仿宋_GB2312" w:hAnsi="仿宋_GB2312" w:eastAsia="仿宋_GB2312" w:cs="仿宋_GB2312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vertAlign w:val="baseline"/>
                <w:lang w:val="en-US" w:eastAsia="zh-CN"/>
              </w:rPr>
              <w:t>数量</w:t>
            </w:r>
          </w:p>
        </w:tc>
        <w:tc>
          <w:tcPr>
            <w:tcW w:w="80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right="0" w:rightChars="0"/>
              <w:jc w:val="center"/>
              <w:textAlignment w:val="auto"/>
              <w:outlineLvl w:val="9"/>
              <w:rPr>
                <w:rFonts w:hint="default" w:ascii="仿宋_GB2312" w:hAnsi="仿宋_GB2312" w:eastAsia="仿宋_GB2312" w:cs="仿宋_GB2312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vertAlign w:val="baseline"/>
                <w:lang w:val="en-US" w:eastAsia="zh-CN"/>
              </w:rPr>
              <w:t>单位</w:t>
            </w:r>
          </w:p>
        </w:tc>
        <w:tc>
          <w:tcPr>
            <w:tcW w:w="203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right="0" w:rightChars="0"/>
              <w:jc w:val="center"/>
              <w:textAlignment w:val="auto"/>
              <w:outlineLvl w:val="9"/>
              <w:rPr>
                <w:rFonts w:hint="default" w:ascii="仿宋_GB2312" w:hAnsi="仿宋_GB2312" w:eastAsia="仿宋_GB2312" w:cs="仿宋_GB2312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vertAlign w:val="baseline"/>
                <w:lang w:val="en-US" w:eastAsia="zh-CN"/>
              </w:rPr>
              <w:t>限价（万元/台）</w:t>
            </w:r>
          </w:p>
        </w:tc>
        <w:tc>
          <w:tcPr>
            <w:tcW w:w="142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right="0" w:rightChars="0"/>
              <w:jc w:val="center"/>
              <w:textAlignment w:val="auto"/>
              <w:outlineLvl w:val="9"/>
              <w:rPr>
                <w:rFonts w:hint="default" w:ascii="仿宋_GB2312" w:hAnsi="仿宋_GB2312" w:eastAsia="仿宋_GB2312" w:cs="仿宋_GB2312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vertAlign w:val="baseline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6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right="0" w:rightChars="0"/>
              <w:jc w:val="center"/>
              <w:textAlignment w:val="auto"/>
              <w:outlineLvl w:val="9"/>
              <w:rPr>
                <w:rFonts w:hint="default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243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right="0" w:right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心脏临时起搏器</w:t>
            </w:r>
          </w:p>
        </w:tc>
        <w:tc>
          <w:tcPr>
            <w:tcW w:w="96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right="0" w:rightChars="0"/>
              <w:jc w:val="center"/>
              <w:textAlignment w:val="auto"/>
              <w:outlineLvl w:val="9"/>
              <w:rPr>
                <w:rFonts w:hint="default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80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right="0" w:rightChars="0"/>
              <w:jc w:val="center"/>
              <w:textAlignment w:val="auto"/>
              <w:outlineLvl w:val="9"/>
              <w:rPr>
                <w:rFonts w:hint="default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台</w:t>
            </w:r>
          </w:p>
        </w:tc>
        <w:tc>
          <w:tcPr>
            <w:tcW w:w="203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right="0" w:rightChars="0"/>
              <w:jc w:val="center"/>
              <w:textAlignment w:val="auto"/>
              <w:outlineLvl w:val="9"/>
              <w:rPr>
                <w:rFonts w:hint="default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10</w:t>
            </w:r>
          </w:p>
        </w:tc>
        <w:tc>
          <w:tcPr>
            <w:tcW w:w="142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right="0" w:rightChars="0"/>
              <w:jc w:val="center"/>
              <w:textAlignment w:val="auto"/>
              <w:outlineLvl w:val="9"/>
              <w:rPr>
                <w:rFonts w:hint="default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6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right="0" w:rightChars="0"/>
              <w:jc w:val="center"/>
              <w:textAlignment w:val="auto"/>
              <w:outlineLvl w:val="9"/>
              <w:rPr>
                <w:rFonts w:hint="default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2</w:t>
            </w:r>
          </w:p>
        </w:tc>
        <w:tc>
          <w:tcPr>
            <w:tcW w:w="243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right="0" w:right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/</w:t>
            </w:r>
          </w:p>
        </w:tc>
        <w:tc>
          <w:tcPr>
            <w:tcW w:w="96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right="0" w:rightChars="0"/>
              <w:jc w:val="center"/>
              <w:textAlignment w:val="auto"/>
              <w:outlineLvl w:val="9"/>
              <w:rPr>
                <w:rFonts w:hint="default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/</w:t>
            </w:r>
          </w:p>
        </w:tc>
        <w:tc>
          <w:tcPr>
            <w:tcW w:w="80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right="0" w:rightChars="0"/>
              <w:jc w:val="center"/>
              <w:textAlignment w:val="auto"/>
              <w:outlineLvl w:val="9"/>
              <w:rPr>
                <w:rFonts w:hint="default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/</w:t>
            </w:r>
          </w:p>
        </w:tc>
        <w:tc>
          <w:tcPr>
            <w:tcW w:w="203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right="0" w:rightChars="0"/>
              <w:jc w:val="center"/>
              <w:textAlignment w:val="auto"/>
              <w:outlineLvl w:val="9"/>
              <w:rPr>
                <w:rFonts w:hint="default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/</w:t>
            </w:r>
          </w:p>
        </w:tc>
        <w:tc>
          <w:tcPr>
            <w:tcW w:w="142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right="0" w:right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0" w:leftChars="0" w:right="0" w:rightChars="0" w:firstLine="0" w:firstLineChars="0"/>
        <w:jc w:val="both"/>
        <w:textAlignment w:val="auto"/>
        <w:outlineLvl w:val="9"/>
        <w:rPr>
          <w:rFonts w:hint="eastAsia" w:ascii="仿宋_GB2312" w:hAnsi="仿宋_GB2312" w:eastAsia="仿宋_GB2312" w:cs="仿宋_GB2312"/>
          <w:b/>
          <w:bCs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0" w:leftChars="0" w:right="0" w:rightChars="0" w:firstLine="0" w:firstLineChars="0"/>
        <w:jc w:val="both"/>
        <w:textAlignment w:val="auto"/>
        <w:outlineLvl w:val="9"/>
        <w:rPr>
          <w:rFonts w:hint="eastAsia" w:ascii="仿宋_GB2312" w:hAnsi="仿宋_GB2312" w:eastAsia="仿宋_GB2312" w:cs="仿宋_GB2312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24"/>
          <w:szCs w:val="24"/>
          <w:lang w:val="en-US" w:eastAsia="zh-CN"/>
        </w:rPr>
        <w:t>二、技术参数：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0" w:leftChars="0" w:right="0" w:rightChars="0" w:firstLine="0" w:firstLineChars="0"/>
        <w:jc w:val="center"/>
        <w:textAlignment w:val="auto"/>
        <w:outlineLvl w:val="9"/>
        <w:rPr>
          <w:rFonts w:hint="eastAsia" w:ascii="仿宋_GB2312" w:hAnsi="仿宋_GB2312" w:eastAsia="仿宋_GB2312" w:cs="仿宋_GB2312"/>
          <w:b/>
          <w:bCs/>
          <w:color w:val="auto"/>
          <w:sz w:val="24"/>
          <w:szCs w:val="24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sz w:val="24"/>
          <w:szCs w:val="24"/>
          <w:lang w:val="en-US" w:eastAsia="zh-CN"/>
        </w:rPr>
        <w:t>心脏临时起搏器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b w:val="0"/>
          <w:bCs w:val="0"/>
          <w:color w:val="auto"/>
          <w:sz w:val="24"/>
          <w:szCs w:val="24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4"/>
          <w:szCs w:val="24"/>
          <w:lang w:val="en-US" w:eastAsia="zh-CN"/>
        </w:rPr>
        <w:t>一、分析、测量功能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b w:val="0"/>
          <w:bCs w:val="0"/>
          <w:color w:val="auto"/>
          <w:sz w:val="24"/>
          <w:szCs w:val="24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4"/>
          <w:szCs w:val="24"/>
          <w:lang w:val="en-US" w:eastAsia="zh-CN"/>
        </w:rPr>
        <w:t>★1、P/R 波测量：0.5</w:t>
      </w:r>
      <w:r>
        <w:rPr>
          <w:rFonts w:hint="default" w:ascii="Arial" w:hAnsi="Arial" w:eastAsia="仿宋_GB2312" w:cs="Arial"/>
          <w:b w:val="0"/>
          <w:bCs w:val="0"/>
          <w:color w:val="auto"/>
          <w:sz w:val="24"/>
          <w:szCs w:val="24"/>
          <w:lang w:val="en-US" w:eastAsia="zh-CN"/>
        </w:rPr>
        <w:t>~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4"/>
          <w:szCs w:val="24"/>
          <w:lang w:val="en-US" w:eastAsia="zh-CN"/>
        </w:rPr>
        <w:t>20.0mV，连续自动更新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b w:val="0"/>
          <w:bCs w:val="0"/>
          <w:color w:val="auto"/>
          <w:sz w:val="24"/>
          <w:szCs w:val="24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4"/>
          <w:szCs w:val="24"/>
          <w:lang w:val="en-US" w:eastAsia="zh-CN"/>
        </w:rPr>
        <w:t>★2、阻抗测量：200</w:t>
      </w:r>
      <w:r>
        <w:rPr>
          <w:rFonts w:hint="eastAsia" w:ascii="Arial" w:hAnsi="Arial" w:eastAsia="仿宋_GB2312" w:cs="Arial"/>
          <w:b w:val="0"/>
          <w:bCs w:val="0"/>
          <w:color w:val="auto"/>
          <w:sz w:val="24"/>
          <w:szCs w:val="24"/>
          <w:lang w:val="en-US" w:eastAsia="zh-CN"/>
        </w:rPr>
        <w:t>~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4"/>
          <w:szCs w:val="24"/>
          <w:lang w:val="en-US" w:eastAsia="zh-CN"/>
        </w:rPr>
        <w:t>4000Ω，连续自动更新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b w:val="0"/>
          <w:bCs w:val="0"/>
          <w:color w:val="auto"/>
          <w:sz w:val="24"/>
          <w:szCs w:val="24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4"/>
          <w:szCs w:val="24"/>
          <w:lang w:val="en-US" w:eastAsia="zh-CN"/>
        </w:rPr>
        <w:t>二、起搏分析输出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b w:val="0"/>
          <w:bCs w:val="0"/>
          <w:color w:val="auto"/>
          <w:sz w:val="24"/>
          <w:szCs w:val="24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4"/>
          <w:szCs w:val="24"/>
          <w:lang w:val="en-US" w:eastAsia="zh-CN"/>
        </w:rPr>
        <w:t>1、同步起搏：SSI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b w:val="0"/>
          <w:bCs w:val="0"/>
          <w:color w:val="auto"/>
          <w:sz w:val="24"/>
          <w:szCs w:val="24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4"/>
          <w:szCs w:val="24"/>
          <w:lang w:val="en-US" w:eastAsia="zh-CN"/>
        </w:rPr>
        <w:t>2、非同步起搏：SOO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b w:val="0"/>
          <w:bCs w:val="0"/>
          <w:color w:val="auto"/>
          <w:sz w:val="24"/>
          <w:szCs w:val="24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4"/>
          <w:szCs w:val="24"/>
          <w:lang w:val="en-US" w:eastAsia="zh-CN"/>
        </w:rPr>
        <w:t>3、快速心房起搏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b w:val="0"/>
          <w:bCs w:val="0"/>
          <w:color w:val="auto"/>
          <w:sz w:val="24"/>
          <w:szCs w:val="24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4"/>
          <w:szCs w:val="24"/>
          <w:lang w:val="en-US" w:eastAsia="zh-CN"/>
        </w:rPr>
        <w:t>4、紧急起搏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b w:val="0"/>
          <w:bCs w:val="0"/>
          <w:color w:val="auto"/>
          <w:sz w:val="24"/>
          <w:szCs w:val="24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4"/>
          <w:szCs w:val="24"/>
          <w:lang w:val="en-US" w:eastAsia="zh-CN"/>
        </w:rPr>
        <w:t>三、技术参数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b w:val="0"/>
          <w:bCs w:val="0"/>
          <w:color w:val="auto"/>
          <w:sz w:val="24"/>
          <w:szCs w:val="24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4"/>
          <w:szCs w:val="24"/>
          <w:lang w:val="en-US" w:eastAsia="zh-CN"/>
        </w:rPr>
        <w:t>1、起搏频率：30</w:t>
      </w:r>
      <w:r>
        <w:rPr>
          <w:rFonts w:hint="eastAsia" w:ascii="Arial" w:hAnsi="Arial" w:eastAsia="仿宋_GB2312" w:cs="Arial"/>
          <w:b w:val="0"/>
          <w:bCs w:val="0"/>
          <w:color w:val="auto"/>
          <w:sz w:val="24"/>
          <w:szCs w:val="24"/>
          <w:lang w:val="en-US" w:eastAsia="zh-CN"/>
        </w:rPr>
        <w:t>~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4"/>
          <w:szCs w:val="24"/>
          <w:lang w:val="en-US" w:eastAsia="zh-CN"/>
        </w:rPr>
        <w:t>200 ppm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b w:val="0"/>
          <w:bCs w:val="0"/>
          <w:color w:val="auto"/>
          <w:sz w:val="24"/>
          <w:szCs w:val="24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4"/>
          <w:szCs w:val="24"/>
          <w:lang w:val="en-US" w:eastAsia="zh-CN"/>
        </w:rPr>
        <w:t>2、感知灵敏度：0.5</w:t>
      </w:r>
      <w:r>
        <w:rPr>
          <w:rFonts w:hint="eastAsia" w:ascii="Arial" w:hAnsi="Arial" w:eastAsia="仿宋_GB2312" w:cs="Arial"/>
          <w:b w:val="0"/>
          <w:bCs w:val="0"/>
          <w:color w:val="auto"/>
          <w:sz w:val="24"/>
          <w:szCs w:val="24"/>
          <w:lang w:val="en-US" w:eastAsia="zh-CN"/>
        </w:rPr>
        <w:t>~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4"/>
          <w:szCs w:val="24"/>
          <w:lang w:val="en-US" w:eastAsia="zh-CN"/>
        </w:rPr>
        <w:t>20.0mV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b w:val="0"/>
          <w:bCs w:val="0"/>
          <w:color w:val="auto"/>
          <w:sz w:val="24"/>
          <w:szCs w:val="24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4"/>
          <w:szCs w:val="24"/>
          <w:lang w:val="en-US" w:eastAsia="zh-CN"/>
        </w:rPr>
        <w:t>3、脉冲幅度：0.1</w:t>
      </w:r>
      <w:r>
        <w:rPr>
          <w:rFonts w:hint="eastAsia" w:ascii="Arial" w:hAnsi="Arial" w:eastAsia="仿宋_GB2312" w:cs="Arial"/>
          <w:b w:val="0"/>
          <w:bCs w:val="0"/>
          <w:color w:val="auto"/>
          <w:sz w:val="24"/>
          <w:szCs w:val="24"/>
          <w:lang w:val="en-US" w:eastAsia="zh-CN"/>
        </w:rPr>
        <w:t>~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4"/>
          <w:szCs w:val="24"/>
          <w:lang w:val="en-US" w:eastAsia="zh-CN"/>
        </w:rPr>
        <w:t>10.0V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b w:val="0"/>
          <w:bCs w:val="0"/>
          <w:color w:val="auto"/>
          <w:sz w:val="24"/>
          <w:szCs w:val="24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4"/>
          <w:szCs w:val="24"/>
          <w:lang w:val="en-US" w:eastAsia="zh-CN"/>
        </w:rPr>
        <w:t>4、脉冲宽度：0.06</w:t>
      </w:r>
      <w:r>
        <w:rPr>
          <w:rFonts w:hint="eastAsia" w:ascii="Arial" w:hAnsi="Arial" w:eastAsia="仿宋_GB2312" w:cs="Arial"/>
          <w:b w:val="0"/>
          <w:bCs w:val="0"/>
          <w:color w:val="auto"/>
          <w:sz w:val="24"/>
          <w:szCs w:val="24"/>
          <w:lang w:val="en-US" w:eastAsia="zh-CN"/>
        </w:rPr>
        <w:t>~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4"/>
          <w:szCs w:val="24"/>
          <w:lang w:val="en-US" w:eastAsia="zh-CN"/>
        </w:rPr>
        <w:t>2.0ms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b w:val="0"/>
          <w:bCs w:val="0"/>
          <w:color w:val="auto"/>
          <w:sz w:val="24"/>
          <w:szCs w:val="24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4"/>
          <w:szCs w:val="24"/>
          <w:lang w:val="en-US" w:eastAsia="zh-CN"/>
        </w:rPr>
        <w:t>★5、恒压脉冲波形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b w:val="0"/>
          <w:bCs w:val="0"/>
          <w:color w:val="auto"/>
          <w:sz w:val="24"/>
          <w:szCs w:val="24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4"/>
          <w:szCs w:val="24"/>
          <w:lang w:val="en-US" w:eastAsia="zh-CN"/>
        </w:rPr>
        <w:t>6、快速心房起搏频率：30</w:t>
      </w:r>
      <w:r>
        <w:rPr>
          <w:rFonts w:hint="eastAsia" w:ascii="Arial" w:hAnsi="Arial" w:eastAsia="仿宋_GB2312" w:cs="Arial"/>
          <w:b w:val="0"/>
          <w:bCs w:val="0"/>
          <w:color w:val="auto"/>
          <w:sz w:val="24"/>
          <w:szCs w:val="24"/>
          <w:lang w:val="en-US" w:eastAsia="zh-CN"/>
        </w:rPr>
        <w:t>~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4"/>
          <w:szCs w:val="24"/>
          <w:lang w:val="en-US" w:eastAsia="zh-CN"/>
        </w:rPr>
        <w:t>1000 ppm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b w:val="0"/>
          <w:bCs w:val="0"/>
          <w:color w:val="auto"/>
          <w:sz w:val="24"/>
          <w:szCs w:val="24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4"/>
          <w:szCs w:val="24"/>
          <w:lang w:val="en-US" w:eastAsia="zh-CN"/>
        </w:rPr>
        <w:t>四、保护功能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b w:val="0"/>
          <w:bCs w:val="0"/>
          <w:color w:val="auto"/>
          <w:sz w:val="24"/>
          <w:szCs w:val="24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4"/>
          <w:szCs w:val="24"/>
          <w:lang w:val="en-US" w:eastAsia="zh-CN"/>
        </w:rPr>
        <w:t>1、开机系统自检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b w:val="0"/>
          <w:bCs w:val="0"/>
          <w:color w:val="auto"/>
          <w:sz w:val="24"/>
          <w:szCs w:val="24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4"/>
          <w:szCs w:val="24"/>
          <w:lang w:val="en-US" w:eastAsia="zh-CN"/>
        </w:rPr>
        <w:t>2、电除颤保护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b w:val="0"/>
          <w:bCs w:val="0"/>
          <w:color w:val="auto"/>
          <w:sz w:val="24"/>
          <w:szCs w:val="24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4"/>
          <w:szCs w:val="24"/>
          <w:lang w:val="en-US" w:eastAsia="zh-CN"/>
        </w:rPr>
        <w:t>3、静电保护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b w:val="0"/>
          <w:bCs w:val="0"/>
          <w:color w:val="auto"/>
          <w:sz w:val="24"/>
          <w:szCs w:val="24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4"/>
          <w:szCs w:val="24"/>
          <w:lang w:val="en-US" w:eastAsia="zh-CN"/>
        </w:rPr>
        <w:t>4、噪声反转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b w:val="0"/>
          <w:bCs w:val="0"/>
          <w:color w:val="auto"/>
          <w:sz w:val="24"/>
          <w:szCs w:val="24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4"/>
          <w:szCs w:val="24"/>
          <w:lang w:val="en-US" w:eastAsia="zh-CN"/>
        </w:rPr>
        <w:t>5、奔放保护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b w:val="0"/>
          <w:bCs w:val="0"/>
          <w:color w:val="auto"/>
          <w:sz w:val="24"/>
          <w:szCs w:val="24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4"/>
          <w:szCs w:val="24"/>
          <w:lang w:val="en-US" w:eastAsia="zh-CN"/>
        </w:rPr>
        <w:t>五、屏幕显示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b w:val="0"/>
          <w:bCs w:val="0"/>
          <w:color w:val="auto"/>
          <w:sz w:val="24"/>
          <w:szCs w:val="24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4"/>
          <w:szCs w:val="24"/>
          <w:lang w:val="en-US" w:eastAsia="zh-CN"/>
        </w:rPr>
        <w:t>1、指示灯：起搏、感知、电源指示灯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b w:val="0"/>
          <w:bCs w:val="0"/>
          <w:color w:val="auto"/>
          <w:sz w:val="24"/>
          <w:szCs w:val="24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4"/>
          <w:szCs w:val="24"/>
          <w:lang w:val="en-US" w:eastAsia="zh-CN"/>
        </w:rPr>
        <w:t>★2、腔内心电图（EGM）：包括起搏/感知事件标记和事件间期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b w:val="0"/>
          <w:bCs w:val="0"/>
          <w:color w:val="auto"/>
          <w:sz w:val="24"/>
          <w:szCs w:val="24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4"/>
          <w:szCs w:val="24"/>
          <w:lang w:val="en-US" w:eastAsia="zh-CN"/>
        </w:rPr>
        <w:t>3、屏幕尺寸：≥2.7英寸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b w:val="0"/>
          <w:bCs w:val="0"/>
          <w:color w:val="auto"/>
          <w:sz w:val="24"/>
          <w:szCs w:val="24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4"/>
          <w:szCs w:val="24"/>
          <w:lang w:val="en-US" w:eastAsia="zh-CN"/>
        </w:rPr>
        <w:t>4、电池使用时间：≥15天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b w:val="0"/>
          <w:bCs w:val="0"/>
          <w:color w:val="auto"/>
          <w:sz w:val="24"/>
          <w:szCs w:val="24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4"/>
          <w:szCs w:val="24"/>
          <w:lang w:val="en-US" w:eastAsia="zh-CN"/>
        </w:rPr>
        <w:t>5、内置备用电池使用时间：≥70秒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b w:val="0"/>
          <w:bCs w:val="0"/>
          <w:color w:val="auto"/>
          <w:sz w:val="24"/>
          <w:szCs w:val="24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4"/>
          <w:szCs w:val="24"/>
          <w:lang w:val="en-US" w:eastAsia="zh-CN"/>
        </w:rPr>
        <w:t>★六、整体要求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b w:val="0"/>
          <w:bCs w:val="0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4"/>
          <w:szCs w:val="24"/>
          <w:lang w:val="en-US" w:eastAsia="zh-CN"/>
        </w:rPr>
        <w:t>1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4"/>
          <w:szCs w:val="24"/>
          <w:highlight w:val="none"/>
          <w:lang w:val="en-US" w:eastAsia="zh-CN"/>
        </w:rPr>
        <w:t>、整机质保期≥3年；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b w:val="0"/>
          <w:bCs w:val="0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4"/>
          <w:szCs w:val="24"/>
          <w:highlight w:val="none"/>
          <w:lang w:val="en-US" w:eastAsia="zh-CN"/>
        </w:rPr>
        <w:t>2、所投标设备如存在数据接口，接口须全部免费开放，与采购人的信息系统兼容，接口费由中标人承担。（报价时须考虑此项费用）；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0" w:leftChars="0" w:right="0" w:rightChars="0" w:firstLine="482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注：上述技术参数中标注“★”参数为必须响应项，供应商须在响应文件中提供证明资料，非“★”参数以响应情况表为评审依据。“★”参数有负偏离或非“★”参数负偏离情形＞2条，视作无效响应。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63C7E14"/>
    <w:rsid w:val="263C7E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Office_11.8.6.11825_F1E327BC-269C-435d-A152-05C5408002CA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2025-12-23T07:29:00Z</dcterms:created>
  <dc:creator>束兵</dc:creator>
  <cp:lastModifiedBy>束兵</cp:lastModifiedBy>
  <dcterms:modified xsi:type="dcterms:W3CDTF">2025-12-23T07:30:11Z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2052-11.8.6.11825</vt:lpwstr>
  </property>
  <property fmtid="{D5CDD505-2E9C-101B-9397-08002B2CF9AE}" pid="3" name="ICV">
    <vt:lpwstr>B207CF7AB6F749BCBBB963E2A4C1A2E4</vt:lpwstr>
  </property>
</Properties>
</file>