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DE0" w:rsidRPr="00CA6DE0" w:rsidRDefault="00CA6DE0" w:rsidP="00CA6DE0">
      <w:pPr>
        <w:keepNext/>
        <w:keepLines/>
        <w:wordWrap w:val="0"/>
        <w:adjustRightInd w:val="0"/>
        <w:spacing w:before="140" w:after="140"/>
        <w:jc w:val="center"/>
        <w:textAlignment w:val="baseline"/>
        <w:outlineLvl w:val="1"/>
        <w:rPr>
          <w:rFonts w:ascii="宋体" w:eastAsia="宋体" w:hAnsi="宋体" w:cs="宋体"/>
          <w:b/>
          <w:kern w:val="0"/>
          <w:sz w:val="30"/>
          <w:szCs w:val="30"/>
        </w:rPr>
      </w:pPr>
      <w:bookmarkStart w:id="0" w:name="_Toc13036"/>
      <w:r w:rsidRPr="00CA6DE0">
        <w:rPr>
          <w:rFonts w:ascii="Times New Roman" w:eastAsia="宋体" w:hAnsi="Times New Roman" w:cs="Times New Roman" w:hint="eastAsia"/>
          <w:b/>
          <w:bCs/>
          <w:sz w:val="28"/>
          <w:szCs w:val="24"/>
        </w:rPr>
        <w:t>采购需求</w:t>
      </w:r>
      <w:bookmarkEnd w:id="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2520"/>
        <w:gridCol w:w="1336"/>
        <w:gridCol w:w="1364"/>
        <w:gridCol w:w="3313"/>
      </w:tblGrid>
      <w:tr w:rsidR="00CA6DE0" w:rsidRPr="00CA6DE0" w:rsidTr="00781694">
        <w:trPr>
          <w:trHeight w:val="517"/>
        </w:trPr>
        <w:tc>
          <w:tcPr>
            <w:tcW w:w="960" w:type="dxa"/>
            <w:vAlign w:val="center"/>
          </w:tcPr>
          <w:p w:rsidR="00CA6DE0" w:rsidRPr="00CA6DE0" w:rsidRDefault="00CA6DE0" w:rsidP="00CA6DE0">
            <w:pPr>
              <w:spacing w:line="340" w:lineRule="exact"/>
              <w:jc w:val="center"/>
              <w:rPr>
                <w:rFonts w:ascii="宋体" w:eastAsia="宋体" w:hAnsi="宋体" w:cs="宋体"/>
                <w:b/>
                <w:bCs/>
                <w:sz w:val="24"/>
                <w:szCs w:val="24"/>
                <w:lang w:val="zh-CN"/>
              </w:rPr>
            </w:pPr>
            <w:r w:rsidRPr="00CA6DE0">
              <w:rPr>
                <w:rFonts w:ascii="宋体" w:eastAsia="宋体" w:hAnsi="宋体" w:cs="宋体" w:hint="eastAsia"/>
                <w:b/>
                <w:bCs/>
                <w:sz w:val="24"/>
                <w:szCs w:val="24"/>
                <w:lang w:val="zh-CN"/>
              </w:rPr>
              <w:t>序号</w:t>
            </w:r>
          </w:p>
        </w:tc>
        <w:tc>
          <w:tcPr>
            <w:tcW w:w="2520" w:type="dxa"/>
            <w:vAlign w:val="center"/>
          </w:tcPr>
          <w:p w:rsidR="00CA6DE0" w:rsidRPr="00CA6DE0" w:rsidRDefault="00CA6DE0" w:rsidP="00CA6DE0">
            <w:pPr>
              <w:spacing w:line="340" w:lineRule="exact"/>
              <w:jc w:val="center"/>
              <w:rPr>
                <w:rFonts w:ascii="宋体" w:eastAsia="宋体" w:hAnsi="宋体" w:cs="宋体"/>
                <w:b/>
                <w:bCs/>
                <w:sz w:val="24"/>
                <w:szCs w:val="24"/>
                <w:lang w:val="zh-CN"/>
              </w:rPr>
            </w:pPr>
            <w:r w:rsidRPr="00CA6DE0">
              <w:rPr>
                <w:rFonts w:ascii="宋体" w:eastAsia="宋体" w:hAnsi="宋体" w:cs="宋体" w:hint="eastAsia"/>
                <w:b/>
                <w:bCs/>
                <w:sz w:val="24"/>
                <w:szCs w:val="24"/>
              </w:rPr>
              <w:t>耗材</w:t>
            </w:r>
            <w:r w:rsidRPr="00CA6DE0">
              <w:rPr>
                <w:rFonts w:ascii="宋体" w:eastAsia="宋体" w:hAnsi="宋体" w:cs="宋体" w:hint="eastAsia"/>
                <w:b/>
                <w:bCs/>
                <w:sz w:val="24"/>
                <w:szCs w:val="24"/>
                <w:lang w:val="zh-CN"/>
              </w:rPr>
              <w:t>名称</w:t>
            </w:r>
          </w:p>
        </w:tc>
        <w:tc>
          <w:tcPr>
            <w:tcW w:w="1336" w:type="dxa"/>
            <w:vAlign w:val="center"/>
          </w:tcPr>
          <w:p w:rsidR="00CA6DE0" w:rsidRPr="00CA6DE0" w:rsidRDefault="00CA6DE0" w:rsidP="00CA6DE0">
            <w:pPr>
              <w:spacing w:line="340" w:lineRule="exact"/>
              <w:jc w:val="center"/>
              <w:rPr>
                <w:rFonts w:ascii="宋体" w:eastAsia="宋体" w:hAnsi="宋体" w:cs="宋体"/>
                <w:b/>
                <w:bCs/>
                <w:sz w:val="24"/>
                <w:szCs w:val="24"/>
              </w:rPr>
            </w:pPr>
            <w:r w:rsidRPr="00CA6DE0">
              <w:rPr>
                <w:rFonts w:ascii="宋体" w:eastAsia="宋体" w:hAnsi="宋体" w:cs="宋体" w:hint="eastAsia"/>
                <w:b/>
                <w:bCs/>
                <w:sz w:val="24"/>
                <w:szCs w:val="24"/>
              </w:rPr>
              <w:t>预采购量(个)</w:t>
            </w:r>
          </w:p>
        </w:tc>
        <w:tc>
          <w:tcPr>
            <w:tcW w:w="1364" w:type="dxa"/>
            <w:vAlign w:val="center"/>
          </w:tcPr>
          <w:p w:rsidR="00CA6DE0" w:rsidRPr="00CA6DE0" w:rsidRDefault="00CA6DE0" w:rsidP="00CA6DE0">
            <w:pPr>
              <w:spacing w:line="340" w:lineRule="exact"/>
              <w:jc w:val="center"/>
              <w:rPr>
                <w:rFonts w:ascii="宋体" w:eastAsia="宋体" w:hAnsi="宋体" w:cs="宋体"/>
                <w:b/>
                <w:bCs/>
                <w:sz w:val="24"/>
                <w:szCs w:val="24"/>
              </w:rPr>
            </w:pPr>
            <w:r w:rsidRPr="00CA6DE0">
              <w:rPr>
                <w:rFonts w:ascii="宋体" w:eastAsia="宋体" w:hAnsi="宋体" w:cs="宋体" w:hint="eastAsia"/>
                <w:b/>
                <w:bCs/>
                <w:sz w:val="24"/>
                <w:szCs w:val="24"/>
              </w:rPr>
              <w:t>单价限价</w:t>
            </w:r>
          </w:p>
          <w:p w:rsidR="00CA6DE0" w:rsidRPr="00CA6DE0" w:rsidRDefault="00CA6DE0" w:rsidP="00CA6DE0">
            <w:pPr>
              <w:spacing w:line="340" w:lineRule="exact"/>
              <w:jc w:val="center"/>
              <w:rPr>
                <w:rFonts w:ascii="宋体" w:eastAsia="宋体" w:hAnsi="宋体" w:cs="宋体"/>
                <w:b/>
                <w:bCs/>
                <w:sz w:val="24"/>
                <w:szCs w:val="24"/>
              </w:rPr>
            </w:pPr>
            <w:r w:rsidRPr="00CA6DE0">
              <w:rPr>
                <w:rFonts w:ascii="宋体" w:eastAsia="宋体" w:hAnsi="宋体" w:cs="宋体" w:hint="eastAsia"/>
                <w:b/>
                <w:bCs/>
                <w:sz w:val="24"/>
                <w:szCs w:val="24"/>
              </w:rPr>
              <w:t>（元/个）</w:t>
            </w:r>
          </w:p>
        </w:tc>
        <w:tc>
          <w:tcPr>
            <w:tcW w:w="3313" w:type="dxa"/>
            <w:vAlign w:val="center"/>
          </w:tcPr>
          <w:p w:rsidR="00CA6DE0" w:rsidRPr="00CA6DE0" w:rsidRDefault="00CA6DE0" w:rsidP="00CA6DE0">
            <w:pPr>
              <w:spacing w:line="340" w:lineRule="exact"/>
              <w:jc w:val="center"/>
              <w:rPr>
                <w:rFonts w:ascii="宋体" w:eastAsia="宋体" w:hAnsi="宋体" w:cs="宋体"/>
                <w:b/>
                <w:bCs/>
                <w:sz w:val="24"/>
                <w:szCs w:val="24"/>
              </w:rPr>
            </w:pPr>
            <w:r w:rsidRPr="00CA6DE0">
              <w:rPr>
                <w:rFonts w:ascii="宋体" w:eastAsia="宋体" w:hAnsi="宋体" w:cs="宋体" w:hint="eastAsia"/>
                <w:b/>
                <w:bCs/>
                <w:sz w:val="24"/>
                <w:szCs w:val="24"/>
              </w:rPr>
              <w:t>使用范围</w:t>
            </w:r>
          </w:p>
        </w:tc>
      </w:tr>
      <w:tr w:rsidR="00CA6DE0" w:rsidRPr="00CA6DE0" w:rsidTr="00781694">
        <w:trPr>
          <w:trHeight w:val="1330"/>
        </w:trPr>
        <w:tc>
          <w:tcPr>
            <w:tcW w:w="960" w:type="dxa"/>
            <w:vAlign w:val="center"/>
          </w:tcPr>
          <w:p w:rsidR="00CA6DE0" w:rsidRPr="00CA6DE0" w:rsidRDefault="00CA6DE0" w:rsidP="00CA6DE0">
            <w:pPr>
              <w:spacing w:line="340" w:lineRule="exact"/>
              <w:jc w:val="center"/>
              <w:rPr>
                <w:rFonts w:ascii="宋体" w:eastAsia="宋体" w:hAnsi="宋体" w:cs="宋体"/>
                <w:sz w:val="24"/>
                <w:szCs w:val="24"/>
              </w:rPr>
            </w:pPr>
            <w:r w:rsidRPr="00CA6DE0">
              <w:rPr>
                <w:rFonts w:ascii="宋体" w:eastAsia="宋体" w:hAnsi="宋体" w:cs="宋体" w:hint="eastAsia"/>
                <w:sz w:val="24"/>
                <w:szCs w:val="24"/>
              </w:rPr>
              <w:t>1</w:t>
            </w:r>
          </w:p>
        </w:tc>
        <w:tc>
          <w:tcPr>
            <w:tcW w:w="2520" w:type="dxa"/>
            <w:vAlign w:val="center"/>
          </w:tcPr>
          <w:p w:rsidR="00CA6DE0" w:rsidRPr="00CA6DE0" w:rsidRDefault="00CA6DE0" w:rsidP="00CA6DE0">
            <w:pPr>
              <w:spacing w:line="340" w:lineRule="exact"/>
              <w:jc w:val="center"/>
              <w:rPr>
                <w:rFonts w:ascii="宋体" w:eastAsia="宋体" w:hAnsi="宋体" w:cs="宋体"/>
                <w:bCs/>
                <w:sz w:val="24"/>
                <w:szCs w:val="24"/>
              </w:rPr>
            </w:pPr>
            <w:r w:rsidRPr="00CA6DE0">
              <w:rPr>
                <w:rFonts w:ascii="宋体" w:eastAsia="宋体" w:hAnsi="宋体" w:cs="宋体" w:hint="eastAsia"/>
                <w:bCs/>
                <w:sz w:val="24"/>
                <w:szCs w:val="24"/>
              </w:rPr>
              <w:t>持续葡萄糖监测系统</w:t>
            </w:r>
          </w:p>
        </w:tc>
        <w:tc>
          <w:tcPr>
            <w:tcW w:w="1336" w:type="dxa"/>
            <w:vAlign w:val="center"/>
          </w:tcPr>
          <w:p w:rsidR="00CA6DE0" w:rsidRPr="00CA6DE0" w:rsidRDefault="00CA6DE0" w:rsidP="00CA6DE0">
            <w:pPr>
              <w:spacing w:line="340" w:lineRule="exact"/>
              <w:jc w:val="center"/>
              <w:rPr>
                <w:rFonts w:ascii="宋体" w:eastAsia="宋体" w:hAnsi="宋体" w:cs="宋体"/>
                <w:bCs/>
                <w:sz w:val="24"/>
                <w:szCs w:val="24"/>
              </w:rPr>
            </w:pPr>
            <w:r w:rsidRPr="00CA6DE0">
              <w:rPr>
                <w:rFonts w:ascii="宋体" w:eastAsia="宋体" w:hAnsi="宋体" w:cs="宋体" w:hint="eastAsia"/>
                <w:bCs/>
                <w:sz w:val="24"/>
                <w:szCs w:val="24"/>
              </w:rPr>
              <w:t>3000</w:t>
            </w:r>
          </w:p>
        </w:tc>
        <w:tc>
          <w:tcPr>
            <w:tcW w:w="1364" w:type="dxa"/>
            <w:vAlign w:val="center"/>
          </w:tcPr>
          <w:p w:rsidR="00CA6DE0" w:rsidRPr="00CA6DE0" w:rsidRDefault="00CA6DE0" w:rsidP="00CA6DE0">
            <w:pPr>
              <w:spacing w:line="340" w:lineRule="exact"/>
              <w:jc w:val="center"/>
              <w:rPr>
                <w:rFonts w:ascii="宋体" w:eastAsia="宋体" w:hAnsi="宋体" w:cs="宋体"/>
                <w:bCs/>
                <w:sz w:val="24"/>
                <w:szCs w:val="24"/>
              </w:rPr>
            </w:pPr>
            <w:r w:rsidRPr="00CA6DE0">
              <w:rPr>
                <w:rFonts w:ascii="宋体" w:eastAsia="宋体" w:hAnsi="宋体" w:cs="宋体" w:hint="eastAsia"/>
                <w:bCs/>
                <w:sz w:val="24"/>
                <w:szCs w:val="24"/>
              </w:rPr>
              <w:t>290</w:t>
            </w:r>
          </w:p>
        </w:tc>
        <w:tc>
          <w:tcPr>
            <w:tcW w:w="3313" w:type="dxa"/>
            <w:vAlign w:val="center"/>
          </w:tcPr>
          <w:p w:rsidR="00CA6DE0" w:rsidRPr="00CA6DE0" w:rsidRDefault="00CA6DE0" w:rsidP="00CA6DE0">
            <w:pPr>
              <w:spacing w:line="340" w:lineRule="exact"/>
              <w:jc w:val="left"/>
              <w:rPr>
                <w:rFonts w:ascii="宋体" w:eastAsia="宋体" w:hAnsi="宋体" w:cs="宋体"/>
                <w:bCs/>
                <w:sz w:val="24"/>
                <w:szCs w:val="24"/>
              </w:rPr>
            </w:pPr>
            <w:r w:rsidRPr="00CA6DE0">
              <w:rPr>
                <w:rFonts w:ascii="宋体" w:eastAsia="宋体" w:hAnsi="宋体" w:cs="宋体" w:hint="eastAsia"/>
                <w:bCs/>
                <w:sz w:val="24"/>
                <w:szCs w:val="24"/>
              </w:rPr>
              <w:t>产品用于糖尿病患者（≥18岁）的组织间液葡萄糖水平的连续或定期监测。</w:t>
            </w:r>
          </w:p>
        </w:tc>
      </w:tr>
      <w:tr w:rsidR="00CA6DE0" w:rsidRPr="00CA6DE0" w:rsidTr="00781694">
        <w:trPr>
          <w:trHeight w:val="743"/>
        </w:trPr>
        <w:tc>
          <w:tcPr>
            <w:tcW w:w="9493" w:type="dxa"/>
            <w:gridSpan w:val="5"/>
            <w:vAlign w:val="center"/>
          </w:tcPr>
          <w:p w:rsidR="00CA6DE0" w:rsidRPr="00CA6DE0" w:rsidRDefault="00CA6DE0" w:rsidP="00CA6DE0">
            <w:pPr>
              <w:tabs>
                <w:tab w:val="left" w:pos="900"/>
              </w:tabs>
              <w:spacing w:after="120"/>
              <w:ind w:left="600"/>
              <w:rPr>
                <w:rFonts w:ascii="宋体" w:eastAsia="宋体" w:hAnsi="宋体" w:cs="宋体"/>
                <w:b/>
                <w:bCs/>
                <w:sz w:val="24"/>
                <w:szCs w:val="24"/>
              </w:rPr>
            </w:pPr>
            <w:r w:rsidRPr="00CA6DE0">
              <w:rPr>
                <w:rFonts w:ascii="宋体" w:eastAsia="宋体" w:hAnsi="宋体" w:cs="宋体" w:hint="eastAsia"/>
                <w:b/>
                <w:bCs/>
                <w:sz w:val="24"/>
                <w:szCs w:val="24"/>
              </w:rPr>
              <w:t>1.投标报价单价高于单价限价的不接受投标。</w:t>
            </w:r>
          </w:p>
          <w:p w:rsidR="00CA6DE0" w:rsidRPr="00CA6DE0" w:rsidRDefault="00CA6DE0" w:rsidP="00CA6DE0">
            <w:pPr>
              <w:tabs>
                <w:tab w:val="left" w:pos="900"/>
              </w:tabs>
              <w:spacing w:after="120"/>
              <w:ind w:left="600"/>
              <w:rPr>
                <w:rFonts w:ascii="宋体" w:eastAsia="宋体" w:hAnsi="宋体" w:cs="宋体"/>
                <w:b/>
                <w:bCs/>
                <w:sz w:val="24"/>
                <w:szCs w:val="24"/>
              </w:rPr>
            </w:pPr>
            <w:r w:rsidRPr="00CA6DE0">
              <w:rPr>
                <w:rFonts w:ascii="宋体" w:eastAsia="宋体" w:hAnsi="宋体" w:cs="宋体" w:hint="eastAsia"/>
                <w:b/>
                <w:bCs/>
                <w:sz w:val="24"/>
                <w:szCs w:val="24"/>
              </w:rPr>
              <w:t>2.技术参数要求：</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2.1 产品用于糖尿病患者（≥18岁）的组织间液葡萄糖水平的连续或定期监测；</w:t>
            </w:r>
            <w:bookmarkStart w:id="1" w:name="_GoBack"/>
            <w:bookmarkEnd w:id="1"/>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2.2 患者在院期间监测时长≥7天，有夜间分析、实时血糖图谱、高低血糖提醒功能，多日血糖对比日期可选；</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2.3 数据读取：蓝牙/无线实时自动传输，无需扫描；</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2.4 校准方式：无须校准；</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color w:val="333333"/>
                <w:sz w:val="24"/>
                <w:szCs w:val="24"/>
                <w:shd w:val="clear" w:color="auto" w:fill="FFFFFF"/>
              </w:rPr>
              <w:t xml:space="preserve">★2.5 </w:t>
            </w:r>
            <w:r w:rsidRPr="00CA6DE0">
              <w:rPr>
                <w:rFonts w:ascii="宋体" w:eastAsia="宋体" w:hAnsi="宋体" w:cs="宋体" w:hint="eastAsia"/>
                <w:sz w:val="24"/>
                <w:szCs w:val="24"/>
              </w:rPr>
              <w:t>传感器血糖浓度探测范围：2.2mmol/L~22.0mmol/L；(</w:t>
            </w:r>
            <w:r w:rsidRPr="00CA6DE0">
              <w:rPr>
                <w:rFonts w:ascii="宋体" w:eastAsia="宋体" w:hAnsi="宋体" w:cs="宋体" w:hint="eastAsia"/>
                <w:b/>
                <w:bCs/>
                <w:sz w:val="24"/>
                <w:szCs w:val="24"/>
                <w:shd w:val="clear" w:color="auto" w:fill="FFFFFF"/>
              </w:rPr>
              <w:t>提供证明资料</w:t>
            </w:r>
            <w:r w:rsidRPr="00CA6DE0">
              <w:rPr>
                <w:rFonts w:ascii="宋体" w:eastAsia="宋体" w:hAnsi="宋体" w:cs="宋体" w:hint="eastAsia"/>
                <w:sz w:val="24"/>
                <w:szCs w:val="24"/>
              </w:rPr>
              <w:t>)</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color w:val="333333"/>
                <w:sz w:val="24"/>
                <w:szCs w:val="24"/>
                <w:shd w:val="clear" w:color="auto" w:fill="FFFFFF"/>
              </w:rPr>
              <w:t xml:space="preserve">★2.6 </w:t>
            </w:r>
            <w:r w:rsidRPr="00CA6DE0">
              <w:rPr>
                <w:rFonts w:ascii="宋体" w:eastAsia="宋体" w:hAnsi="宋体" w:cs="宋体" w:hint="eastAsia"/>
                <w:sz w:val="24"/>
                <w:szCs w:val="24"/>
              </w:rPr>
              <w:t>采样频次：≤5分钟，每天≥288个数据；(</w:t>
            </w:r>
            <w:r w:rsidRPr="00CA6DE0">
              <w:rPr>
                <w:rFonts w:ascii="宋体" w:eastAsia="宋体" w:hAnsi="宋体" w:cs="宋体" w:hint="eastAsia"/>
                <w:b/>
                <w:bCs/>
                <w:sz w:val="24"/>
                <w:szCs w:val="24"/>
                <w:shd w:val="clear" w:color="auto" w:fill="FFFFFF"/>
              </w:rPr>
              <w:t>提供证明资料</w:t>
            </w:r>
            <w:r w:rsidRPr="00CA6DE0">
              <w:rPr>
                <w:rFonts w:ascii="宋体" w:eastAsia="宋体" w:hAnsi="宋体" w:cs="宋体" w:hint="eastAsia"/>
                <w:sz w:val="24"/>
                <w:szCs w:val="24"/>
              </w:rPr>
              <w:t>)</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color w:val="333333"/>
                <w:sz w:val="24"/>
                <w:szCs w:val="24"/>
                <w:shd w:val="clear" w:color="auto" w:fill="FFFFFF"/>
              </w:rPr>
              <w:t xml:space="preserve">★2.7 </w:t>
            </w:r>
            <w:r w:rsidRPr="00CA6DE0">
              <w:rPr>
                <w:rFonts w:ascii="宋体" w:eastAsia="宋体" w:hAnsi="宋体" w:cs="宋体" w:hint="eastAsia"/>
                <w:sz w:val="24"/>
                <w:szCs w:val="24"/>
              </w:rPr>
              <w:t>传感器平均绝对相对误差（MARD值）：≦8.67%；(</w:t>
            </w:r>
            <w:r w:rsidRPr="00CA6DE0">
              <w:rPr>
                <w:rFonts w:ascii="宋体" w:eastAsia="宋体" w:hAnsi="宋体" w:cs="宋体" w:hint="eastAsia"/>
                <w:b/>
                <w:bCs/>
                <w:sz w:val="24"/>
                <w:szCs w:val="24"/>
                <w:shd w:val="clear" w:color="auto" w:fill="FFFFFF"/>
              </w:rPr>
              <w:t>提供证明资料</w:t>
            </w:r>
            <w:r w:rsidRPr="00CA6DE0">
              <w:rPr>
                <w:rFonts w:ascii="宋体" w:eastAsia="宋体" w:hAnsi="宋体" w:cs="宋体" w:hint="eastAsia"/>
                <w:sz w:val="24"/>
                <w:szCs w:val="24"/>
              </w:rPr>
              <w:t>)</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★2.8 低血糖糖检出率：检出率≥87%；(</w:t>
            </w:r>
            <w:r w:rsidRPr="00CA6DE0">
              <w:rPr>
                <w:rFonts w:ascii="宋体" w:eastAsia="宋体" w:hAnsi="宋体" w:cs="宋体" w:hint="eastAsia"/>
                <w:b/>
                <w:bCs/>
                <w:sz w:val="24"/>
                <w:szCs w:val="24"/>
                <w:shd w:val="clear" w:color="auto" w:fill="FFFFFF"/>
              </w:rPr>
              <w:t>提供证明资料</w:t>
            </w:r>
            <w:r w:rsidRPr="00CA6DE0">
              <w:rPr>
                <w:rFonts w:ascii="宋体" w:eastAsia="宋体" w:hAnsi="宋体" w:cs="宋体" w:hint="eastAsia"/>
                <w:sz w:val="24"/>
                <w:szCs w:val="24"/>
              </w:rPr>
              <w:t>)</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2.9精准度：±20%/20mg/dL一致率≥92%；</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color w:val="333333"/>
                <w:sz w:val="24"/>
                <w:szCs w:val="24"/>
                <w:shd w:val="clear" w:color="auto" w:fill="FFFFFF"/>
              </w:rPr>
              <w:t xml:space="preserve">★2.10 </w:t>
            </w:r>
            <w:r w:rsidRPr="00CA6DE0">
              <w:rPr>
                <w:rFonts w:ascii="宋体" w:eastAsia="宋体" w:hAnsi="宋体" w:cs="宋体" w:hint="eastAsia"/>
                <w:sz w:val="24"/>
                <w:szCs w:val="24"/>
              </w:rPr>
              <w:t>Consensus共识误差栅格分析A+B区：≥99.9%；(</w:t>
            </w:r>
            <w:r w:rsidRPr="00CA6DE0">
              <w:rPr>
                <w:rFonts w:ascii="宋体" w:eastAsia="宋体" w:hAnsi="宋体" w:cs="宋体" w:hint="eastAsia"/>
                <w:b/>
                <w:bCs/>
                <w:sz w:val="24"/>
                <w:szCs w:val="24"/>
                <w:shd w:val="clear" w:color="auto" w:fill="FFFFFF"/>
              </w:rPr>
              <w:t>提供证明资料</w:t>
            </w:r>
            <w:r w:rsidRPr="00CA6DE0">
              <w:rPr>
                <w:rFonts w:ascii="宋体" w:eastAsia="宋体" w:hAnsi="宋体" w:cs="宋体" w:hint="eastAsia"/>
                <w:sz w:val="24"/>
                <w:szCs w:val="24"/>
              </w:rPr>
              <w:t>)</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2.11自动报警功能：具备高、低血糖报警功能，可个性化设置报警阈值；</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2.12 防水等级：≥IPX8，可佩戴洗澡或游泳无需摘除；</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2.13 血糖监测系统：具备多用户监测系统，可实现患者、医生数据共享；</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color w:val="333333"/>
                <w:sz w:val="24"/>
                <w:szCs w:val="24"/>
                <w:shd w:val="clear" w:color="auto" w:fill="FFFFFF"/>
              </w:rPr>
              <w:t xml:space="preserve">★2.14 </w:t>
            </w:r>
            <w:r w:rsidRPr="00CA6DE0">
              <w:rPr>
                <w:rFonts w:ascii="宋体" w:eastAsia="宋体" w:hAnsi="宋体" w:cs="宋体" w:hint="eastAsia"/>
                <w:sz w:val="24"/>
                <w:szCs w:val="24"/>
              </w:rPr>
              <w:t>须免费提供院内血糖管理系统配套使用的所需软硬件，包括不限于：计算机、查房客户端、蓝牙/无线硬件设备、中央监护可视化大屏，实现实时信息化建设。(</w:t>
            </w:r>
            <w:r w:rsidRPr="00CA6DE0">
              <w:rPr>
                <w:rFonts w:ascii="宋体" w:eastAsia="宋体" w:hAnsi="宋体" w:cs="宋体" w:hint="eastAsia"/>
                <w:b/>
                <w:bCs/>
                <w:sz w:val="24"/>
                <w:szCs w:val="24"/>
                <w:shd w:val="clear" w:color="auto" w:fill="FFFFFF"/>
              </w:rPr>
              <w:t>提供承诺函，格式自拟</w:t>
            </w:r>
            <w:r w:rsidRPr="00CA6DE0">
              <w:rPr>
                <w:rFonts w:ascii="宋体" w:eastAsia="宋体" w:hAnsi="宋体" w:cs="宋体" w:hint="eastAsia"/>
                <w:sz w:val="24"/>
                <w:szCs w:val="24"/>
              </w:rPr>
              <w:t>)</w:t>
            </w:r>
          </w:p>
          <w:p w:rsidR="00CA6DE0" w:rsidRPr="00CA6DE0" w:rsidRDefault="00CA6DE0" w:rsidP="00CA6DE0">
            <w:pPr>
              <w:spacing w:line="340" w:lineRule="exact"/>
              <w:ind w:firstLineChars="300" w:firstLine="720"/>
              <w:jc w:val="left"/>
              <w:rPr>
                <w:rFonts w:ascii="宋体" w:eastAsia="宋体" w:hAnsi="宋体" w:cs="宋体"/>
                <w:sz w:val="24"/>
                <w:szCs w:val="24"/>
              </w:rPr>
            </w:pPr>
            <w:r w:rsidRPr="00CA6DE0">
              <w:rPr>
                <w:rFonts w:ascii="宋体" w:eastAsia="宋体" w:hAnsi="宋体" w:cs="宋体" w:hint="eastAsia"/>
                <w:sz w:val="24"/>
                <w:szCs w:val="24"/>
              </w:rPr>
              <w:t>上述需要提供证明材料的由成交人在合同签订前提供，响应文件中提供承诺函，格式自拟。若成交人无法按时提供真实有效的证明材料，采购人有权取消其成交资格。</w:t>
            </w:r>
          </w:p>
          <w:p w:rsidR="00CA6DE0" w:rsidRPr="00CA6DE0" w:rsidRDefault="00CA6DE0" w:rsidP="00CA6DE0">
            <w:pPr>
              <w:spacing w:line="500" w:lineRule="exact"/>
              <w:ind w:firstLineChars="300" w:firstLine="723"/>
              <w:rPr>
                <w:rFonts w:ascii="宋体" w:eastAsia="宋体" w:hAnsi="宋体" w:cs="宋体"/>
                <w:b/>
                <w:bCs/>
                <w:sz w:val="24"/>
                <w:szCs w:val="24"/>
              </w:rPr>
            </w:pPr>
            <w:r w:rsidRPr="00CA6DE0">
              <w:rPr>
                <w:rFonts w:ascii="宋体" w:eastAsia="宋体" w:hAnsi="宋体" w:cs="宋体" w:hint="eastAsia"/>
                <w:b/>
                <w:bCs/>
                <w:sz w:val="24"/>
                <w:szCs w:val="24"/>
              </w:rPr>
              <w:t>3.其他要求：</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3.1 供应商在填报价格时应与产品生产企业或总代理商充分沟通。供应商不得以产品成交价格、授权等问题，影响医院采购和临床使用。如因供应商原因造成不能供货，将按《合同》中相关约定要求成交供应商补偿给采购人造成的一切经济损失；</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3.2 若成交供应商不能按合同及“两票制”（采购周期内如政策调整按调整后政策执行）要求进行及时配送，医院有权指定其他配送企业进行配送，由此造成的耗材差价、措施费、医院、患者一切损失等由成交供应商承担。对于成交供应商不能履行配送义务的，将解除合同，同时对不能配送产品，成交供应商补偿采购人采购的差价和由此带给采购人造成的一切经济损失；</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3.3 供应商应具备完成本项目基本的物流及仓储能力，供应商须承诺接到医院采购计划后,在规定时间内完成配送(急抢救用耗材原则上4小时内配送到位；一般耗材24</w:t>
            </w:r>
            <w:r w:rsidRPr="00CA6DE0">
              <w:rPr>
                <w:rFonts w:ascii="宋体" w:eastAsia="宋体" w:hAnsi="宋体" w:cs="宋体" w:hint="eastAsia"/>
                <w:color w:val="000000"/>
                <w:sz w:val="24"/>
                <w:szCs w:val="24"/>
              </w:rPr>
              <w:lastRenderedPageBreak/>
              <w:t>小时内送达，最长不超过72小时；节假日照常配送；特别紧急的须按甲方要求及时送到)。配送产品的剩余有效期，须占有效期的三分之二；</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3.4供应商应有完善且固定的配送及售后服务人员，其中要有专人负责本项目。供应商须在配送服务方案中明确落实及时送达的具体安排、应急预案及响应措施。(按采购人要求的基数进行急抢救耗材备货，否则造成的后果由成交供应商承担)；</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3.5对属于介入、骨科等需要提供专业配套服务的耗材，供应商应具有完善的配套服务，针对项目建立完善的配套方案，做好产品的质量跟踪及手术人员配备，产品的贮存符合项目要求，保证供货产品的质量，及时满足项目的服务需求（</w:t>
            </w:r>
            <w:r w:rsidRPr="00CA6DE0">
              <w:rPr>
                <w:rFonts w:ascii="宋体" w:eastAsia="宋体" w:hAnsi="宋体" w:cs="宋体" w:hint="eastAsia"/>
                <w:b/>
                <w:bCs/>
                <w:color w:val="000000"/>
                <w:sz w:val="24"/>
                <w:szCs w:val="24"/>
              </w:rPr>
              <w:t>供应商须在响应文件中编制服务方案（格式自拟）</w:t>
            </w:r>
            <w:r w:rsidRPr="00CA6DE0">
              <w:rPr>
                <w:rFonts w:ascii="宋体" w:eastAsia="宋体" w:hAnsi="宋体" w:cs="宋体" w:hint="eastAsia"/>
                <w:color w:val="000000"/>
                <w:sz w:val="24"/>
                <w:szCs w:val="24"/>
              </w:rPr>
              <w:t>，方案内容包含但不限于上述要求；</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3.6供应商应具有完善的售后服务体系，配备本项目的实施组成人员，做好岗前培训，明确分工及职责；建立售后服务保障措施；售后服务响应方式多样；售后服务做到快捷、专业、有效；</w:t>
            </w:r>
          </w:p>
          <w:p w:rsidR="00CA6DE0" w:rsidRPr="00CA6DE0" w:rsidRDefault="00CA6DE0" w:rsidP="00CA6DE0">
            <w:pPr>
              <w:widowControl/>
              <w:ind w:firstLineChars="200" w:firstLine="482"/>
              <w:jc w:val="left"/>
              <w:rPr>
                <w:rFonts w:ascii="宋体" w:eastAsia="宋体" w:hAnsi="宋体" w:cs="宋体"/>
                <w:b/>
                <w:bCs/>
                <w:color w:val="000000"/>
                <w:sz w:val="24"/>
                <w:szCs w:val="24"/>
              </w:rPr>
            </w:pPr>
            <w:r w:rsidRPr="00CA6DE0">
              <w:rPr>
                <w:rFonts w:ascii="宋体" w:eastAsia="宋体" w:hAnsi="宋体" w:cs="宋体" w:hint="eastAsia"/>
                <w:b/>
                <w:bCs/>
                <w:color w:val="000000"/>
                <w:sz w:val="24"/>
                <w:szCs w:val="24"/>
              </w:rPr>
              <w:t>★3.7 属安徽省医药集中采购平台的耗材, 成交供应商在签订合同前须取得所投产品网采配送资格并按照成交价格完成网采平台配送关系建立。（成交通知书发放后7个工作日内未完成网采关系建立，视为自动放弃成交资格。同时成交供应商赔偿给采购人造成的一切经济损失。）</w:t>
            </w:r>
            <w:r w:rsidRPr="00CA6DE0">
              <w:rPr>
                <w:rFonts w:ascii="宋体" w:eastAsia="宋体" w:hAnsi="宋体" w:cs="宋体" w:hint="eastAsia"/>
                <w:sz w:val="24"/>
                <w:szCs w:val="24"/>
              </w:rPr>
              <w:t>(</w:t>
            </w:r>
            <w:r w:rsidRPr="00CA6DE0">
              <w:rPr>
                <w:rFonts w:ascii="宋体" w:eastAsia="宋体" w:hAnsi="宋体" w:cs="宋体" w:hint="eastAsia"/>
                <w:b/>
                <w:bCs/>
                <w:sz w:val="24"/>
                <w:szCs w:val="24"/>
                <w:shd w:val="clear" w:color="auto" w:fill="FFFFFF"/>
              </w:rPr>
              <w:t>提供承诺函，格式自拟</w:t>
            </w:r>
            <w:r w:rsidRPr="00CA6DE0">
              <w:rPr>
                <w:rFonts w:ascii="宋体" w:eastAsia="宋体" w:hAnsi="宋体" w:cs="宋体" w:hint="eastAsia"/>
                <w:sz w:val="24"/>
                <w:szCs w:val="24"/>
              </w:rPr>
              <w:t>)</w:t>
            </w:r>
            <w:r w:rsidRPr="00CA6DE0">
              <w:rPr>
                <w:rFonts w:ascii="宋体" w:eastAsia="宋体" w:hAnsi="宋体" w:cs="宋体" w:hint="eastAsia"/>
                <w:b/>
                <w:bCs/>
                <w:color w:val="000000"/>
                <w:sz w:val="24"/>
                <w:szCs w:val="24"/>
              </w:rPr>
              <w:t>；</w:t>
            </w:r>
          </w:p>
          <w:p w:rsidR="00CA6DE0" w:rsidRPr="00CA6DE0" w:rsidRDefault="00CA6DE0" w:rsidP="00CA6DE0">
            <w:pPr>
              <w:widowControl/>
              <w:ind w:firstLineChars="300" w:firstLine="723"/>
              <w:jc w:val="left"/>
              <w:rPr>
                <w:rFonts w:ascii="宋体" w:eastAsia="宋体" w:hAnsi="宋体" w:cs="宋体"/>
                <w:b/>
                <w:bCs/>
                <w:color w:val="000000"/>
                <w:sz w:val="24"/>
                <w:szCs w:val="24"/>
              </w:rPr>
            </w:pPr>
            <w:r w:rsidRPr="00CA6DE0">
              <w:rPr>
                <w:rFonts w:ascii="宋体" w:eastAsia="宋体" w:hAnsi="宋体" w:cs="宋体" w:hint="eastAsia"/>
                <w:b/>
                <w:bCs/>
                <w:color w:val="000000"/>
                <w:sz w:val="24"/>
                <w:szCs w:val="24"/>
              </w:rPr>
              <w:t>3.8 属安徽省医疗保险可单独收费医用耗材目录编码内耗材，供应商需提供所投产品对应耗材编码（若未填写或无相应编码，采购人将不采购此耗材）；</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3.9 成交供应商在签订合同前须提供产品生产企业或总代理商针对本项目的有效授权书；</w:t>
            </w:r>
          </w:p>
          <w:p w:rsidR="00CA6DE0" w:rsidRPr="00CA6DE0" w:rsidRDefault="00CA6DE0" w:rsidP="00CA6DE0">
            <w:pPr>
              <w:widowControl/>
              <w:ind w:firstLineChars="300" w:firstLine="723"/>
              <w:jc w:val="left"/>
              <w:rPr>
                <w:rFonts w:ascii="宋体" w:eastAsia="宋体" w:hAnsi="宋体" w:cs="宋体"/>
                <w:color w:val="000000"/>
                <w:sz w:val="24"/>
                <w:szCs w:val="24"/>
              </w:rPr>
            </w:pPr>
            <w:r w:rsidRPr="00CA6DE0">
              <w:rPr>
                <w:rFonts w:ascii="宋体" w:eastAsia="宋体" w:hAnsi="宋体" w:cs="宋体" w:hint="eastAsia"/>
                <w:b/>
                <w:bCs/>
                <w:color w:val="000000"/>
                <w:sz w:val="24"/>
                <w:szCs w:val="24"/>
              </w:rPr>
              <w:t>★</w:t>
            </w:r>
            <w:r w:rsidRPr="00CA6DE0">
              <w:rPr>
                <w:rFonts w:ascii="宋体" w:eastAsia="宋体" w:hAnsi="宋体" w:cs="宋体" w:hint="eastAsia"/>
                <w:color w:val="000000"/>
                <w:sz w:val="24"/>
                <w:szCs w:val="24"/>
              </w:rPr>
              <w:t>3.10 成交供应商须承诺配送的产品，自愿支付所供货款金额的≤2%用于医用物资SPD智慧物流管理服务，并无条件签订三方协议</w:t>
            </w:r>
            <w:r w:rsidRPr="00CA6DE0">
              <w:rPr>
                <w:rFonts w:ascii="宋体" w:eastAsia="宋体" w:hAnsi="宋体" w:cs="宋体" w:hint="eastAsia"/>
                <w:b/>
                <w:bCs/>
                <w:color w:val="000000"/>
                <w:sz w:val="24"/>
                <w:szCs w:val="24"/>
              </w:rPr>
              <w:t>（成交供应商须提供承诺书，格式自拟）</w:t>
            </w:r>
            <w:r w:rsidRPr="00CA6DE0">
              <w:rPr>
                <w:rFonts w:ascii="宋体" w:eastAsia="宋体" w:hAnsi="宋体" w:cs="宋体" w:hint="eastAsia"/>
                <w:color w:val="000000"/>
                <w:sz w:val="24"/>
                <w:szCs w:val="24"/>
              </w:rPr>
              <w:t>；</w:t>
            </w:r>
          </w:p>
          <w:p w:rsidR="00CA6DE0" w:rsidRPr="00CA6DE0" w:rsidRDefault="00CA6DE0" w:rsidP="00CA6DE0">
            <w:pPr>
              <w:widowControl/>
              <w:ind w:firstLineChars="300" w:firstLine="720"/>
              <w:jc w:val="left"/>
              <w:rPr>
                <w:rFonts w:ascii="宋体" w:eastAsia="宋体" w:hAnsi="宋体" w:cs="宋体"/>
                <w:color w:val="000000"/>
                <w:sz w:val="24"/>
                <w:szCs w:val="24"/>
              </w:rPr>
            </w:pPr>
            <w:r w:rsidRPr="00CA6DE0">
              <w:rPr>
                <w:rFonts w:ascii="宋体" w:eastAsia="宋体" w:hAnsi="宋体" w:cs="宋体" w:hint="eastAsia"/>
                <w:color w:val="000000"/>
                <w:sz w:val="24"/>
                <w:szCs w:val="24"/>
              </w:rPr>
              <w:t>3.11 采购周期内如遇国家省市相关部门政策调整，以调整后的政策为准。采购周期内一切产品如遇国家、省、市带量采购的，均执行国家、省、市带量采购，采购期自动终止。</w:t>
            </w:r>
          </w:p>
          <w:p w:rsidR="00CA6DE0" w:rsidRPr="00CA6DE0" w:rsidRDefault="00CA6DE0" w:rsidP="00CA6DE0">
            <w:pPr>
              <w:widowControl/>
              <w:ind w:firstLineChars="300" w:firstLine="723"/>
              <w:jc w:val="left"/>
              <w:rPr>
                <w:rFonts w:ascii="宋体" w:eastAsia="宋体" w:hAnsi="宋体" w:cs="宋体"/>
                <w:b/>
                <w:bCs/>
                <w:color w:val="000000"/>
                <w:sz w:val="24"/>
                <w:szCs w:val="24"/>
              </w:rPr>
            </w:pPr>
            <w:r w:rsidRPr="00CA6DE0">
              <w:rPr>
                <w:rFonts w:ascii="宋体" w:eastAsia="宋体" w:hAnsi="宋体" w:cs="宋体" w:hint="eastAsia"/>
                <w:b/>
                <w:bCs/>
                <w:color w:val="000000"/>
                <w:sz w:val="24"/>
                <w:szCs w:val="24"/>
              </w:rPr>
              <w:t>注：上述参数以响应情况表为评审依据。“★”参数有负偏离或非“★”参数负偏离情形＞2条，视作无效响应。</w:t>
            </w:r>
          </w:p>
          <w:p w:rsidR="00CA6DE0" w:rsidRPr="00CA6DE0" w:rsidRDefault="00CA6DE0" w:rsidP="00CA6DE0">
            <w:pPr>
              <w:tabs>
                <w:tab w:val="left" w:pos="900"/>
              </w:tabs>
              <w:spacing w:after="120"/>
              <w:ind w:left="600"/>
              <w:rPr>
                <w:rFonts w:ascii="宋体" w:eastAsia="宋体" w:hAnsi="宋体" w:cs="宋体"/>
                <w:b/>
                <w:bCs/>
                <w:sz w:val="24"/>
                <w:szCs w:val="24"/>
              </w:rPr>
            </w:pPr>
          </w:p>
        </w:tc>
      </w:tr>
    </w:tbl>
    <w:p w:rsidR="003F0543" w:rsidRDefault="003F0543"/>
    <w:sectPr w:rsidR="003F054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484"/>
    <w:rsid w:val="003F0543"/>
    <w:rsid w:val="004F6484"/>
    <w:rsid w:val="00781694"/>
    <w:rsid w:val="00CA6D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A4CBFE-3BEE-4264-B6C1-754B5C68C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295</Words>
  <Characters>1687</Characters>
  <Application>Microsoft Office Word</Application>
  <DocSecurity>0</DocSecurity>
  <Lines>14</Lines>
  <Paragraphs>3</Paragraphs>
  <ScaleCrop>false</ScaleCrop>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束兵</dc:creator>
  <cp:keywords/>
  <dc:description/>
  <cp:lastModifiedBy>束兵</cp:lastModifiedBy>
  <cp:revision>4</cp:revision>
  <dcterms:created xsi:type="dcterms:W3CDTF">2025-11-28T03:19:00Z</dcterms:created>
  <dcterms:modified xsi:type="dcterms:W3CDTF">2025-11-28T03:32:00Z</dcterms:modified>
</cp:coreProperties>
</file>