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434702">
      <w:pPr>
        <w:pStyle w:val="2"/>
        <w:spacing w:before="120" w:beforeLines="50" w:after="120" w:afterLines="50" w:line="560" w:lineRule="exact"/>
        <w:ind w:firstLine="3614" w:firstLineChars="1500"/>
        <w:rPr>
          <w:rFonts w:hint="eastAsia" w:ascii="宋体" w:hAnsi="宋体" w:cs="宋体"/>
          <w:color w:val="auto"/>
          <w:sz w:val="24"/>
          <w:szCs w:val="24"/>
        </w:rPr>
      </w:pPr>
      <w:r>
        <w:rPr>
          <w:rFonts w:hint="eastAsia" w:ascii="宋体" w:hAnsi="宋体" w:cs="宋体"/>
          <w:color w:val="auto"/>
          <w:sz w:val="24"/>
          <w:szCs w:val="24"/>
        </w:rPr>
        <w:t xml:space="preserve"> 采购需求</w:t>
      </w:r>
    </w:p>
    <w:p w14:paraId="0C7E1530">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bookmarkStart w:id="0" w:name="_Hlt509716920"/>
      <w:bookmarkEnd w:id="0"/>
      <w:r>
        <w:rPr>
          <w:rFonts w:hint="eastAsia" w:ascii="宋体" w:hAnsi="宋体" w:eastAsia="宋体" w:cs="宋体"/>
          <w:color w:val="auto"/>
          <w:sz w:val="24"/>
          <w:szCs w:val="24"/>
        </w:rPr>
        <w:t>为维护医院医疗秩序、规范病区陪护管理，进一步提升我院住院患者生活护理质量、促进患者早日康复，现将</w:t>
      </w:r>
      <w:r>
        <w:rPr>
          <w:rFonts w:hint="eastAsia" w:ascii="宋体" w:hAnsi="宋体" w:eastAsia="宋体" w:cs="宋体"/>
          <w:color w:val="auto"/>
          <w:sz w:val="24"/>
          <w:szCs w:val="24"/>
          <w:lang w:eastAsia="zh-CN"/>
        </w:rPr>
        <w:t>舒城县人民医院</w:t>
      </w:r>
      <w:r>
        <w:rPr>
          <w:rFonts w:hint="eastAsia" w:ascii="宋体" w:hAnsi="宋体" w:eastAsia="宋体" w:cs="宋体"/>
          <w:color w:val="auto"/>
          <w:sz w:val="24"/>
          <w:szCs w:val="24"/>
        </w:rPr>
        <w:t>住院患者陪护服务招标需求拟定如下。</w:t>
      </w:r>
    </w:p>
    <w:p w14:paraId="2FE94A77">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一、服务范围：</w:t>
      </w:r>
      <w:r>
        <w:rPr>
          <w:rFonts w:hint="eastAsia" w:ascii="宋体" w:hAnsi="宋体" w:eastAsia="宋体" w:cs="宋体"/>
          <w:color w:val="auto"/>
          <w:sz w:val="24"/>
          <w:szCs w:val="24"/>
          <w:lang w:eastAsia="zh-CN"/>
        </w:rPr>
        <w:t>根据住院患者和患者家属需求，由供应商选派陪护人员为医院病区住院患者提供护理服务</w:t>
      </w:r>
      <w:r>
        <w:rPr>
          <w:rFonts w:hint="eastAsia" w:ascii="宋体" w:hAnsi="宋体" w:eastAsia="宋体" w:cs="宋体"/>
          <w:color w:val="auto"/>
          <w:sz w:val="24"/>
          <w:szCs w:val="24"/>
        </w:rPr>
        <w:t>。</w:t>
      </w:r>
    </w:p>
    <w:p w14:paraId="2DD8BDCA">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rPr>
        <w:t>二、服务期限：</w:t>
      </w:r>
      <w:r>
        <w:rPr>
          <w:rFonts w:hint="eastAsia" w:ascii="宋体" w:hAnsi="宋体" w:eastAsia="宋体" w:cs="宋体"/>
          <w:color w:val="auto"/>
          <w:sz w:val="24"/>
          <w:szCs w:val="24"/>
        </w:rPr>
        <w:t>三年（合同一年一签，实行年度考核，考核不合格即终止合同）</w:t>
      </w:r>
      <w:r>
        <w:rPr>
          <w:rFonts w:hint="eastAsia" w:ascii="宋体" w:hAnsi="宋体" w:eastAsia="宋体" w:cs="宋体"/>
          <w:color w:val="auto"/>
          <w:sz w:val="24"/>
          <w:szCs w:val="24"/>
          <w:lang w:eastAsia="zh-CN"/>
        </w:rPr>
        <w:t>。</w:t>
      </w:r>
    </w:p>
    <w:p w14:paraId="14934C69">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lang w:val="en-US" w:eastAsia="zh-CN"/>
        </w:rPr>
        <w:t>三、项目预算价：</w:t>
      </w:r>
      <w:r>
        <w:rPr>
          <w:rFonts w:hint="eastAsia" w:ascii="宋体" w:hAnsi="宋体" w:eastAsia="宋体" w:cs="宋体"/>
          <w:b w:val="0"/>
          <w:bCs w:val="0"/>
          <w:color w:val="auto"/>
          <w:sz w:val="24"/>
          <w:szCs w:val="24"/>
          <w:lang w:val="en-US" w:eastAsia="zh-CN"/>
        </w:rPr>
        <w:t>0元。中标人收入预算：405万元/年。</w:t>
      </w:r>
    </w:p>
    <w:p w14:paraId="13B1FF42">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rPr>
        <w:t>、服务需求</w:t>
      </w:r>
    </w:p>
    <w:p w14:paraId="7E366F6C">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（一）服务</w:t>
      </w:r>
      <w:r>
        <w:rPr>
          <w:rFonts w:hint="eastAsia" w:ascii="宋体" w:hAnsi="宋体" w:eastAsia="宋体" w:cs="宋体"/>
          <w:color w:val="auto"/>
          <w:sz w:val="24"/>
          <w:szCs w:val="24"/>
          <w:lang w:val="en-US" w:eastAsia="zh-CN"/>
        </w:rPr>
        <w:t>主要</w:t>
      </w:r>
      <w:r>
        <w:rPr>
          <w:rFonts w:hint="eastAsia" w:ascii="宋体" w:hAnsi="宋体" w:eastAsia="宋体" w:cs="宋体"/>
          <w:color w:val="auto"/>
          <w:sz w:val="24"/>
          <w:szCs w:val="24"/>
        </w:rPr>
        <w:t>内容</w:t>
      </w:r>
    </w:p>
    <w:p w14:paraId="59039A21">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普通病房病患护理</w:t>
      </w:r>
      <w:r>
        <w:rPr>
          <w:rFonts w:hint="eastAsia" w:ascii="宋体" w:hAnsi="宋体" w:eastAsia="宋体" w:cs="宋体"/>
          <w:color w:val="auto"/>
          <w:sz w:val="24"/>
          <w:szCs w:val="24"/>
          <w:lang w:val="en-US" w:eastAsia="zh-CN"/>
        </w:rPr>
        <w:t>内容：</w:t>
      </w:r>
    </w:p>
    <w:p w14:paraId="1640B763">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晨间护理：洗漱、抹身、换衣服、梳头、整理床单元；</w:t>
      </w:r>
    </w:p>
    <w:p w14:paraId="53B9ACCE">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喂食、喂水、清理食具、在护士指导下喂药；</w:t>
      </w:r>
    </w:p>
    <w:p w14:paraId="71EE853D">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病情及时间允许陪同患者院内散步；</w:t>
      </w:r>
    </w:p>
    <w:p w14:paraId="77D4705E">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协助翻身拍背、协助病人床上二便，递送及清洗便器；更换湿、污床单、及时更换衣服，保持病人体位舒适；二便失禁者，为病人更换尿布并保持会阴部清洁、干爽；</w:t>
      </w:r>
    </w:p>
    <w:p w14:paraId="74881C6F">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观察输液情况，保持输液状态正常，及时发现异常情况及时通知护士；</w:t>
      </w:r>
    </w:p>
    <w:p w14:paraId="2A3BD7ED">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修剪指/趾甲、刮胡子，根据病情协助病人功能锻炼；</w:t>
      </w:r>
    </w:p>
    <w:p w14:paraId="06B617CF">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协助运送病人进行各项检查或康复治疗；</w:t>
      </w:r>
    </w:p>
    <w:p w14:paraId="768737E6">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保持病人及床单位清洁、整齐、无异味；</w:t>
      </w:r>
    </w:p>
    <w:p w14:paraId="113B66E2">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根据医生护士的指导，注意观察病情，了解病人的各种情况，保持各管道及输液管道通畅，发现异常及时通知护士或医生处理；</w:t>
      </w:r>
    </w:p>
    <w:p w14:paraId="51FF856E">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晚间护理：抹身、洗脸、洗脚、整理和更换床单、协助病人入睡；</w:t>
      </w:r>
    </w:p>
    <w:p w14:paraId="2E04E88A">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根据病人需求及时给予帮助；</w:t>
      </w:r>
    </w:p>
    <w:p w14:paraId="200F771F">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协助病人留取各项标本；</w:t>
      </w:r>
    </w:p>
    <w:p w14:paraId="3DA444EA">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适当给予病人心理护理。</w:t>
      </w:r>
    </w:p>
    <w:p w14:paraId="5B8A034E">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产科病区母婴护理</w:t>
      </w:r>
      <w:r>
        <w:rPr>
          <w:rFonts w:hint="eastAsia" w:ascii="宋体" w:hAnsi="宋体" w:eastAsia="宋体" w:cs="宋体"/>
          <w:color w:val="auto"/>
          <w:sz w:val="24"/>
          <w:szCs w:val="24"/>
          <w:lang w:val="en-US" w:eastAsia="zh-CN"/>
        </w:rPr>
        <w:t>内容：</w:t>
      </w:r>
    </w:p>
    <w:p w14:paraId="298EC615">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产前提供生活护理、母婴用品设置等；</w:t>
      </w:r>
    </w:p>
    <w:p w14:paraId="7DB3EF2D">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产后协助产妇刷牙、洗脸、洗手、梳头、用餐、活动、大小便及会阴清洁；</w:t>
      </w:r>
    </w:p>
    <w:p w14:paraId="3412851D">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看护输液；</w:t>
      </w:r>
    </w:p>
    <w:p w14:paraId="2ABBC2A0">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指导产妇乳房护理、母乳喂养。</w:t>
      </w:r>
    </w:p>
    <w:p w14:paraId="786CD70F">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协助新生儿喂奶、清洁，更换尿不湿。</w:t>
      </w:r>
    </w:p>
    <w:p w14:paraId="3E886ADF">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观察产妇及新生儿身体状况，发现异常及时与护士联系。</w:t>
      </w:r>
    </w:p>
    <w:p w14:paraId="40F71450">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剖宫产同时注意观察切口敷料干燥情况，指导产妇正确翻身、活动等。</w:t>
      </w:r>
    </w:p>
    <w:p w14:paraId="7463A9E7">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协助整理床单元，保持整洁。</w:t>
      </w:r>
    </w:p>
    <w:p w14:paraId="0C1B46D3">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（9）根据产妇需求及时给予帮助。</w:t>
      </w:r>
    </w:p>
    <w:p w14:paraId="66F0A886">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（二）服务形式</w:t>
      </w:r>
    </w:p>
    <w:p w14:paraId="535FAE60">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双重监管模式：</w:t>
      </w:r>
      <w:r>
        <w:rPr>
          <w:rFonts w:hint="eastAsia" w:ascii="宋体" w:hAnsi="宋体" w:eastAsia="宋体" w:cs="宋体"/>
          <w:color w:val="auto"/>
          <w:sz w:val="24"/>
          <w:szCs w:val="24"/>
          <w:lang w:val="en-US" w:eastAsia="zh-CN"/>
        </w:rPr>
        <w:t>陪护人员</w:t>
      </w:r>
      <w:r>
        <w:rPr>
          <w:rFonts w:hint="eastAsia" w:ascii="宋体" w:hAnsi="宋体" w:eastAsia="宋体" w:cs="宋体"/>
          <w:color w:val="auto"/>
          <w:sz w:val="24"/>
          <w:szCs w:val="24"/>
        </w:rPr>
        <w:t>同时接受病区护士长和项目主管双重监管；</w:t>
      </w:r>
    </w:p>
    <w:p w14:paraId="68D80421">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小组负责制：配备病区组长，每组人员相对固定，便于日常质量监管；</w:t>
      </w:r>
    </w:p>
    <w:p w14:paraId="358A352C">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.陪护人员实行</w:t>
      </w:r>
      <w:r>
        <w:rPr>
          <w:rFonts w:hint="eastAsia" w:ascii="宋体" w:hAnsi="宋体" w:eastAsia="宋体" w:cs="宋体"/>
          <w:color w:val="auto"/>
          <w:sz w:val="24"/>
          <w:szCs w:val="24"/>
        </w:rPr>
        <w:t>轮班制，确保休息时间和</w:t>
      </w:r>
      <w:r>
        <w:rPr>
          <w:rFonts w:hint="eastAsia" w:ascii="宋体" w:hAnsi="宋体" w:eastAsia="宋体" w:cs="宋体"/>
          <w:color w:val="auto"/>
          <w:sz w:val="24"/>
          <w:szCs w:val="24"/>
          <w:lang w:val="en-US" w:eastAsia="zh-CN"/>
        </w:rPr>
        <w:t>陪护</w:t>
      </w:r>
      <w:r>
        <w:rPr>
          <w:rFonts w:hint="eastAsia" w:ascii="宋体" w:hAnsi="宋体" w:eastAsia="宋体" w:cs="宋体"/>
          <w:color w:val="auto"/>
          <w:sz w:val="24"/>
          <w:szCs w:val="24"/>
        </w:rPr>
        <w:t>质量。</w:t>
      </w:r>
    </w:p>
    <w:p w14:paraId="1EA7A8C2">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（三）服务价格</w:t>
      </w:r>
    </w:p>
    <w:p w14:paraId="69B786F8">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分级收费管理：根据患者病情严重程度、分级护理服务需求，确定服务等级价格（服务限价见附件1、附件2）。</w:t>
      </w:r>
    </w:p>
    <w:p w14:paraId="6F4276D2">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.普通陪护及母婴护理</w:t>
      </w:r>
      <w:r>
        <w:rPr>
          <w:rFonts w:hint="eastAsia" w:ascii="宋体" w:hAnsi="宋体" w:eastAsia="宋体" w:cs="宋体"/>
          <w:color w:val="auto"/>
          <w:sz w:val="24"/>
          <w:szCs w:val="24"/>
        </w:rPr>
        <w:t>价格</w:t>
      </w:r>
      <w:r>
        <w:rPr>
          <w:rFonts w:hint="eastAsia" w:ascii="宋体" w:hAnsi="宋体" w:eastAsia="宋体" w:cs="宋体"/>
          <w:color w:val="auto"/>
          <w:sz w:val="24"/>
          <w:szCs w:val="24"/>
          <w:lang w:val="en-US" w:eastAsia="zh-CN"/>
        </w:rPr>
        <w:t>按照中标合同执行，</w:t>
      </w:r>
      <w:r>
        <w:rPr>
          <w:rFonts w:hint="eastAsia" w:ascii="宋体" w:hAnsi="宋体" w:eastAsia="宋体" w:cs="宋体"/>
          <w:color w:val="auto"/>
          <w:sz w:val="24"/>
          <w:szCs w:val="24"/>
        </w:rPr>
        <w:t>与患者签订服务合同，</w:t>
      </w:r>
      <w:r>
        <w:rPr>
          <w:rFonts w:hint="eastAsia" w:ascii="宋体" w:hAnsi="宋体" w:eastAsia="宋体" w:cs="宋体"/>
          <w:color w:val="auto"/>
          <w:sz w:val="24"/>
          <w:szCs w:val="24"/>
          <w:lang w:val="en-US" w:eastAsia="zh-CN"/>
        </w:rPr>
        <w:t>服务项目及价格须</w:t>
      </w:r>
      <w:r>
        <w:rPr>
          <w:rFonts w:hint="eastAsia" w:ascii="宋体" w:hAnsi="宋体" w:eastAsia="宋体" w:cs="宋体"/>
          <w:color w:val="auto"/>
          <w:sz w:val="24"/>
          <w:szCs w:val="24"/>
        </w:rPr>
        <w:t>在每个病区有详细公示，未经医院允许不得擅自调整。</w:t>
      </w:r>
    </w:p>
    <w:p w14:paraId="7EDF852A">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3.如上级卫生健康主管部门推行免陪护服务，服务的收费价格依据六安市医保部门的标准核定，结算事宜另行约定。</w:t>
      </w:r>
    </w:p>
    <w:p w14:paraId="489A2822">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（四）服务要求</w:t>
      </w:r>
    </w:p>
    <w:p w14:paraId="69E3D25D">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人员资质：</w:t>
      </w:r>
      <w:r>
        <w:rPr>
          <w:rFonts w:hint="eastAsia" w:ascii="宋体" w:hAnsi="宋体" w:eastAsia="宋体" w:cs="宋体"/>
          <w:color w:val="auto"/>
          <w:sz w:val="24"/>
          <w:szCs w:val="24"/>
          <w:lang w:val="en-US" w:eastAsia="zh-CN"/>
        </w:rPr>
        <w:t>陪护人</w:t>
      </w:r>
      <w:r>
        <w:rPr>
          <w:rFonts w:hint="eastAsia" w:ascii="宋体" w:hAnsi="宋体" w:eastAsia="宋体" w:cs="宋体"/>
          <w:color w:val="auto"/>
          <w:sz w:val="24"/>
          <w:szCs w:val="24"/>
        </w:rPr>
        <w:t>员应身体健康，</w:t>
      </w:r>
      <w:r>
        <w:rPr>
          <w:rFonts w:hint="eastAsia" w:ascii="宋体" w:hAnsi="宋体" w:eastAsia="宋体" w:cs="宋体"/>
          <w:color w:val="auto"/>
          <w:sz w:val="24"/>
          <w:szCs w:val="24"/>
          <w:lang w:val="en-US" w:eastAsia="zh-CN"/>
        </w:rPr>
        <w:t>原则上</w:t>
      </w:r>
      <w:r>
        <w:rPr>
          <w:rFonts w:hint="eastAsia" w:ascii="宋体" w:hAnsi="宋体" w:eastAsia="宋体" w:cs="宋体"/>
          <w:color w:val="auto"/>
          <w:sz w:val="24"/>
          <w:szCs w:val="24"/>
        </w:rPr>
        <w:t>男性年龄≤6</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岁、女性年龄≤</w:t>
      </w:r>
      <w:r>
        <w:rPr>
          <w:rFonts w:hint="eastAsia" w:ascii="宋体" w:hAnsi="宋体" w:eastAsia="宋体" w:cs="宋体"/>
          <w:color w:val="auto"/>
          <w:sz w:val="24"/>
          <w:szCs w:val="24"/>
          <w:lang w:val="en-US" w:eastAsia="zh-CN"/>
        </w:rPr>
        <w:t>60</w:t>
      </w:r>
      <w:r>
        <w:rPr>
          <w:rFonts w:hint="eastAsia" w:ascii="宋体" w:hAnsi="宋体" w:eastAsia="宋体" w:cs="宋体"/>
          <w:color w:val="auto"/>
          <w:sz w:val="24"/>
          <w:szCs w:val="24"/>
        </w:rPr>
        <w:t>岁，掌握基本护理常识、特殊岗位专科护理技能，须持有效的健康证</w:t>
      </w:r>
      <w:r>
        <w:rPr>
          <w:rFonts w:hint="eastAsia" w:ascii="宋体" w:hAnsi="宋体" w:eastAsia="宋体" w:cs="宋体"/>
          <w:color w:val="auto"/>
          <w:sz w:val="24"/>
          <w:szCs w:val="24"/>
          <w:lang w:val="en-US" w:eastAsia="zh-CN"/>
        </w:rPr>
        <w:t>和</w:t>
      </w:r>
      <w:r>
        <w:rPr>
          <w:rFonts w:hint="eastAsia" w:ascii="宋体" w:hAnsi="宋体" w:eastAsia="宋体" w:cs="宋体"/>
          <w:color w:val="auto"/>
          <w:sz w:val="24"/>
          <w:szCs w:val="24"/>
        </w:rPr>
        <w:t>培训考核合格证，经院方考核合格后方可上岗</w:t>
      </w:r>
      <w:r>
        <w:rPr>
          <w:rFonts w:hint="eastAsia" w:ascii="宋体" w:hAnsi="宋体" w:eastAsia="宋体" w:cs="宋体"/>
          <w:color w:val="auto"/>
          <w:sz w:val="24"/>
          <w:szCs w:val="24"/>
          <w:lang w:eastAsia="zh-CN"/>
        </w:rPr>
        <w:t>。</w:t>
      </w:r>
    </w:p>
    <w:p w14:paraId="6C1A57CF">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供应商须为本项目配备项目负责人1人，病区组长若干名</w:t>
      </w:r>
      <w:r>
        <w:rPr>
          <w:rFonts w:hint="eastAsia" w:ascii="宋体" w:hAnsi="宋体" w:eastAsia="宋体" w:cs="宋体"/>
          <w:color w:val="auto"/>
          <w:sz w:val="24"/>
          <w:szCs w:val="24"/>
          <w:highlight w:val="none"/>
          <w:lang w:val="en-US" w:eastAsia="zh-CN"/>
        </w:rPr>
        <w:t>，管理人员数量与医院规模相适应</w:t>
      </w:r>
      <w:r>
        <w:rPr>
          <w:rFonts w:hint="eastAsia" w:ascii="宋体" w:hAnsi="宋体" w:eastAsia="宋体" w:cs="宋体"/>
          <w:color w:val="auto"/>
          <w:sz w:val="24"/>
          <w:szCs w:val="24"/>
          <w:lang w:val="en-US" w:eastAsia="zh-CN"/>
        </w:rPr>
        <w:t>。</w:t>
      </w:r>
    </w:p>
    <w:p w14:paraId="35B8BF27">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规范管理：应根据我院实际情况，建立管理规范、服务流程、操作规范、质量考核标准，并有详细的服务人员培训计划和管理方案。因管理不善、服务不规范导致的服务纠纷/事故或由此引起的其它事件，由</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承担全部责任；对医院声誉造成不良影响，医院将</w:t>
      </w:r>
      <w:r>
        <w:rPr>
          <w:rFonts w:hint="eastAsia" w:ascii="宋体" w:hAnsi="宋体" w:eastAsia="宋体" w:cs="宋体"/>
          <w:color w:val="auto"/>
          <w:sz w:val="24"/>
          <w:szCs w:val="24"/>
          <w:lang w:val="en-US" w:eastAsia="zh-CN"/>
        </w:rPr>
        <w:t>追究</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 xml:space="preserve">责任。 </w:t>
      </w:r>
    </w:p>
    <w:p w14:paraId="2276C7A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3.陪护人员要求：</w:t>
      </w:r>
    </w:p>
    <w:p w14:paraId="35AC70F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（1）陪护人员需有爱心，责任心。在陪护期间，尊重患者人格，保护患者隐私，不得损害患者正当利益。</w:t>
      </w:r>
    </w:p>
    <w:p w14:paraId="1BF7ED3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（2）统一着装，服装须有中标供应商标识，佩戴工作牌，遵守医院及科室的各项规章制度，遵守劳动纪律，不准扎堆聊天，不能串岗。</w:t>
      </w:r>
    </w:p>
    <w:p w14:paraId="698A1AE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（3）明确工作职责，严禁代替护士从事照护技术性操作工作。其工作范围主要是患者的日常生活照护，要服从病区护士长的安排，配合做好病房管理工作，不能干涉正常的医疗、护理工作。</w:t>
      </w:r>
    </w:p>
    <w:p w14:paraId="0E9D5E0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陪护人员需严格遵守医院的规章制度，不得擅自翻阅、复印、拍照、抄录病历及其他医疗文件，不得私自取用医用物品（如患者被服、手套、纱布、棉签等）；尊重患者隐私，不能谈论患者的病情；不与患者同床睡觉，不得占用病房空床。</w:t>
      </w:r>
    </w:p>
    <w:p w14:paraId="718E52A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（5）陪护人员严禁向患者或家属索要或收受钱物；不得向患者或家属兜售任何物品；不得向患者及家属提出与工作无关的任何要求；陪护期间不得干私活，节约用水、用电；无陪护期间不得在病区逗留、串门。</w:t>
      </w:r>
    </w:p>
    <w:p w14:paraId="307CAB0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（6）陪护人员不得以任何理由，拒绝重危患者的陪护；不得私自接单患者或作为中介介绍患者。</w:t>
      </w:r>
    </w:p>
    <w:p w14:paraId="7785FD0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（7）不允许陪护人员向患者或家属方索要任何费用，陪护人员自行解决就餐。</w:t>
      </w:r>
    </w:p>
    <w:p w14:paraId="345C8C9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能够体现对陪护工作的专业性，针对目前医院陪护状况制定详细的服务方案；对陪护管理有丰富经验；对不同服务对象能够提供不同层次的服务；定期测评客户满意度，并不断改进管理方法及服务质量；服从科室管理，不允许私自代管其他病人，乱收费，乱窜病房；禁止在科室内抽烟、喝酒、生火做饭及使用大功率电器。</w:t>
      </w:r>
    </w:p>
    <w:p w14:paraId="0262B9D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（9）服务期间如发生陪护在病房内使用医院禁止的电器设备或由于陪护人员的原因，造成患者坠床、跌倒、烫伤或其他损害引起纠纷的，中标供应商承担全部责任。</w:t>
      </w:r>
    </w:p>
    <w:p w14:paraId="7C106DA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语言要求：要估计病人的教育程度及理解力，选择合适的语言来表达。语言内容要严谨、符合伦理道德原则。语言的情感沟通是陪护与患者之间感情的“桥梁”，应满腔热情地面对病人，将病人的爱心、同情心和真诚相助的情感融在言语中。如早上病人醒来，微笑对病人说：“您晚上睡的好吗？”“今天天气真好！我打开窗户交换一下空气，行吗？”对病人的隐私如生理缺陷、精神病、性病等要保密，病人不愿意陈述的内容不要问，更不能向别人散布。</w:t>
      </w:r>
    </w:p>
    <w:p w14:paraId="717284F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（11）中标供应商所有服务人员必须完成健康体检，且体检合格方可上岗。所有服务人员的个人信息、体检合格报告和岗前培训记录等均需交采购人报备。</w:t>
      </w:r>
    </w:p>
    <w:p w14:paraId="242F5B8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4、采购人的权利和义务：</w:t>
      </w:r>
    </w:p>
    <w:p w14:paraId="6ADF661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（1）采购人有权对中标供应商具体的经营活动进行监督和指导。</w:t>
      </w:r>
    </w:p>
    <w:p w14:paraId="62CB889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（2）采购人准许中标供应商在采购人场所开展陪护经营活动，采购人不承担中标供应商在管理过程中产生的任何费用。</w:t>
      </w:r>
    </w:p>
    <w:p w14:paraId="2632BFF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（3）采购人有权要求中标供应商遵守医院的相关规章制度，根据各病区专科特点由护士长负责本病区陪护人员的监督和指导工作。</w:t>
      </w:r>
    </w:p>
    <w:p w14:paraId="71DE733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中标供应商在服务期间，被患者或家属在一月之内达到三次投诉或年累计投诉达十次，经查证属实，甲方有权无条件中止合同，并赔偿因此导致的甲方损失。中标供应商在提供服务期间因过错造成的纠纷和损失医院不承担任何责任。</w:t>
      </w:r>
    </w:p>
    <w:p w14:paraId="3C364BD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5、中标供应商的权利和义务：</w:t>
      </w:r>
    </w:p>
    <w:p w14:paraId="48D0327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（1）中标供应商不得以采购人或其他名义从事患者陪护工作及其他事项，不得做出损害采购人权益的行为，否则采购人有权单方解除合同，造成损失的由中标供应商承担损失赔偿责任。</w:t>
      </w:r>
    </w:p>
    <w:p w14:paraId="448065E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未经采购人同意，中标供应商不得以任何形式转租、转让、抵押采购人区域及合同内容，只从事采购人认可的陪护工作，否则采购人有权单方面终止合同，并保留进一步追究中标供应商责任的权利。在合同期间，中标供应商任何重大变动或法律事宜均应通知采购人。</w:t>
      </w:r>
    </w:p>
    <w:p w14:paraId="31A99E7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（3）中标供应商不得以采购人的名义从事任何经济活动，且由此发生的一切债权、债务与采购人无关。</w:t>
      </w:r>
    </w:p>
    <w:p w14:paraId="2F7CF6D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未经采购人同意，中标供应商无权在医院任何区域中从事任何广告活动或类似宣传，采购人有权依照广告法和采购人相关的规定责令中标供应商限期改正；但采购人在该区域发布的广告宣传保证不致影响中标供应商的正常工作。</w:t>
      </w:r>
    </w:p>
    <w:p w14:paraId="1D22191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（5）中标供应商需确保患者安全（包括隐私安全），如在陪护期间，</w:t>
      </w:r>
      <w:r>
        <w:rPr>
          <w:rFonts w:hint="eastAsia" w:ascii="宋体" w:hAnsi="宋体" w:eastAsia="宋体" w:cs="宋体"/>
          <w:color w:val="auto"/>
          <w:sz w:val="24"/>
          <w:szCs w:val="24"/>
          <w:highlight w:val="none"/>
          <w:u w:val="none"/>
          <w:lang w:val="en-US" w:eastAsia="zh-CN"/>
        </w:rPr>
        <w:t>由于陪护人员的原因，造成患者坠床、跌倒、烫伤或其他损害引起纠纷的</w:t>
      </w:r>
      <w:r>
        <w:rPr>
          <w:rFonts w:hint="eastAsia" w:ascii="宋体" w:hAnsi="宋体" w:eastAsia="宋体" w:cs="宋体"/>
          <w:color w:val="auto"/>
          <w:sz w:val="24"/>
          <w:szCs w:val="24"/>
          <w:highlight w:val="none"/>
          <w:lang w:val="en-US" w:eastAsia="zh-CN"/>
        </w:rPr>
        <w:t>，由中标供应商自行承担相应责任，与采购人无关。中标供应商与患者的其他纠纷，由中标供应商与患方自行解决并承担相应的责任，与采购人无关。如上述纠纷导致采购人对外承担赔偿责任的，采购人有权向中标供应商进行追偿。</w:t>
      </w:r>
    </w:p>
    <w:p w14:paraId="45A04B8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陪护人员的自身安全、社会保险、工资发放、劳动纠纷、意外保险、责任保险、税金等由中标供应商自行承担。在合同执行期间，陪护人员发生各种工伤事故或意外伤害，均由中标供应商承担全部责任及相关法律责任，采购人不承担任何责任。</w:t>
      </w:r>
    </w:p>
    <w:p w14:paraId="2D153871">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（7）中标供应商服务期满或因其他原因结束服务时，中标供应商应主动与患方、接任中标供应商做好交接工作。</w:t>
      </w:r>
    </w:p>
    <w:p w14:paraId="26C9BF5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（8）中标人任何时候均不得在服务区域存放易燃物品、具有较大挥发性或气味浓烈的液体或任何其他危险品。</w:t>
      </w:r>
    </w:p>
    <w:p w14:paraId="737B5285">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（9）陪护人员禁止侮辱、殴打、猥亵被服务对象或者其他患者，陪护人员未经采购人工作人员许可禁止拍照拍视频，如发现有以上情况，向其追究相应责任。</w:t>
      </w:r>
    </w:p>
    <w:p w14:paraId="6BE65A24">
      <w:pPr>
        <w:pStyle w:val="4"/>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在合同生效期间，中标人所有人员仅与中标人建立劳动合同关系，且所有人员使用须符合《中华人民共和国劳动法》以及相关法律法规的要求。中标人支付陪护及管理人员的劳动报酬及相关社会、医疗保障等应符合政策相关规定。中标人在承接管理服务中所发生的人身安全事故(包括人员滑倒、擦伤等)、交通事故、看护等安全事故责任与采购人无关。</w:t>
      </w:r>
    </w:p>
    <w:p w14:paraId="1EF96DDD">
      <w:pPr>
        <w:pStyle w:val="4"/>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（11）在合同履行期间内，中标人应对服务人员以及第三方全权负责。建议中标人投保第三方责任险、服务人员人身意外险，以保证采购人在中标人服务人员索赔时不受任何责任的约束。</w:t>
      </w:r>
      <w:r>
        <w:rPr>
          <w:rFonts w:hint="eastAsia" w:ascii="宋体" w:hAnsi="宋体" w:eastAsia="宋体" w:cs="宋体"/>
          <w:color w:val="auto"/>
          <w:sz w:val="24"/>
          <w:szCs w:val="24"/>
          <w:highlight w:val="none"/>
          <w:u w:val="none"/>
          <w:lang w:val="en-US" w:eastAsia="zh-CN"/>
        </w:rPr>
        <w:t>中标人所属的员工或第三方发生的事故、工伤等事件(含护工在提供服务期间因患者行为导致的陪护人员、患者及第三人人身财产等伤害)，由中标人负责。</w:t>
      </w:r>
    </w:p>
    <w:p w14:paraId="12BB21B9">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（12）采购人不提供中标人的服务人员的住宿用房，中标人自行妥善解决服务人员的住宿及用餐等问题。</w:t>
      </w:r>
    </w:p>
    <w:p w14:paraId="0A7470CA">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（13）中标供应商针对项目实施过程中可能遇到的各种突发紧急情况，制定具体的应急处置措施。这些措施应综合考虑人员安全和项目顺利进行的需求，确保在紧急情况下能够迅速、有效地应对。</w:t>
      </w:r>
    </w:p>
    <w:p w14:paraId="0EE606F5">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（14）中标供应商的收费行为，须接受当地市场主管部门的监管。</w:t>
      </w:r>
    </w:p>
    <w:p w14:paraId="18882240">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五</w:t>
      </w:r>
      <w:r>
        <w:rPr>
          <w:rFonts w:hint="eastAsia" w:ascii="宋体" w:hAnsi="宋体" w:eastAsia="宋体" w:cs="宋体"/>
          <w:b/>
          <w:bCs/>
          <w:color w:val="auto"/>
          <w:sz w:val="24"/>
          <w:szCs w:val="24"/>
        </w:rPr>
        <w:t>、考核办法 （暂定，后期据实调整）</w:t>
      </w:r>
    </w:p>
    <w:p w14:paraId="00D635B4">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（一）考核内容：每月由服务病区、服务对象共同进行考核评价</w:t>
      </w:r>
      <w:r>
        <w:rPr>
          <w:rFonts w:hint="eastAsia" w:ascii="宋体" w:hAnsi="宋体" w:eastAsia="宋体" w:cs="宋体"/>
          <w:color w:val="auto"/>
          <w:sz w:val="24"/>
          <w:szCs w:val="24"/>
          <w:lang w:eastAsia="zh-CN"/>
        </w:rPr>
        <w:t>。</w:t>
      </w:r>
    </w:p>
    <w:p w14:paraId="691F7085">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1.定期考核：</w:t>
      </w:r>
      <w:r>
        <w:rPr>
          <w:rFonts w:hint="eastAsia" w:ascii="宋体" w:hAnsi="宋体" w:eastAsia="宋体" w:cs="宋体"/>
          <w:color w:val="auto"/>
          <w:sz w:val="24"/>
          <w:szCs w:val="24"/>
          <w:lang w:val="en-US" w:eastAsia="zh-CN"/>
        </w:rPr>
        <w:t>医院护理部门</w:t>
      </w:r>
      <w:r>
        <w:rPr>
          <w:rFonts w:hint="eastAsia" w:ascii="宋体" w:hAnsi="宋体" w:eastAsia="宋体" w:cs="宋体"/>
          <w:color w:val="auto"/>
          <w:sz w:val="24"/>
          <w:szCs w:val="24"/>
          <w:lang w:eastAsia="zh-CN"/>
        </w:rPr>
        <w:t>每月1次</w:t>
      </w:r>
      <w:r>
        <w:rPr>
          <w:rFonts w:hint="eastAsia" w:ascii="宋体" w:hAnsi="宋体" w:eastAsia="宋体" w:cs="宋体"/>
          <w:color w:val="auto"/>
          <w:sz w:val="24"/>
          <w:szCs w:val="24"/>
          <w:lang w:val="en-US" w:eastAsia="zh-CN"/>
        </w:rPr>
        <w:t>对</w:t>
      </w:r>
      <w:r>
        <w:rPr>
          <w:rFonts w:hint="eastAsia" w:ascii="宋体" w:hAnsi="宋体" w:eastAsia="宋体" w:cs="宋体"/>
          <w:color w:val="auto"/>
          <w:sz w:val="24"/>
          <w:szCs w:val="24"/>
          <w:lang w:eastAsia="zh-CN"/>
        </w:rPr>
        <w:t>中标供应商工作质量进行月度综合考核。采用100分制考核，占对中标供应商考核的70%。</w:t>
      </w:r>
    </w:p>
    <w:p w14:paraId="20AACB7B">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lang w:val="en-US" w:eastAsia="zh-CN"/>
        </w:rPr>
        <w:t>医院护理部门</w:t>
      </w:r>
      <w:r>
        <w:rPr>
          <w:rFonts w:hint="eastAsia" w:ascii="宋体" w:hAnsi="宋体" w:eastAsia="宋体" w:cs="宋体"/>
          <w:color w:val="auto"/>
          <w:sz w:val="24"/>
          <w:szCs w:val="24"/>
          <w:lang w:eastAsia="zh-CN"/>
        </w:rPr>
        <w:t>每月1次</w:t>
      </w:r>
      <w:r>
        <w:rPr>
          <w:rFonts w:hint="eastAsia" w:ascii="宋体" w:hAnsi="宋体" w:eastAsia="宋体" w:cs="宋体"/>
          <w:color w:val="auto"/>
          <w:sz w:val="24"/>
          <w:szCs w:val="24"/>
          <w:lang w:val="en-US" w:eastAsia="zh-CN"/>
        </w:rPr>
        <w:t>对中标供应商满意度考核，</w:t>
      </w:r>
      <w:r>
        <w:rPr>
          <w:rFonts w:hint="eastAsia" w:ascii="宋体" w:hAnsi="宋体" w:eastAsia="宋体" w:cs="宋体"/>
          <w:color w:val="auto"/>
          <w:sz w:val="24"/>
          <w:szCs w:val="24"/>
          <w:lang w:eastAsia="zh-CN"/>
        </w:rPr>
        <w:t>满意度考核主要内容包括：服务态度、服务及时性、服务质量、仪容仪表进行测评。采用100分制考核，占对中标供应商考核的30%。</w:t>
      </w:r>
    </w:p>
    <w:p w14:paraId="38226309">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具体内容见附件3、4。</w:t>
      </w:r>
    </w:p>
    <w:p w14:paraId="4733C823">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rPr>
        <w:t>结果运用：</w:t>
      </w:r>
    </w:p>
    <w:p w14:paraId="78C1BDC4">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在一个考核年度内</w:t>
      </w:r>
      <w:r>
        <w:rPr>
          <w:rFonts w:hint="eastAsia" w:ascii="宋体" w:hAnsi="宋体" w:eastAsia="宋体" w:cs="宋体"/>
          <w:color w:val="auto"/>
          <w:sz w:val="24"/>
          <w:szCs w:val="24"/>
          <w:lang w:eastAsia="zh-CN"/>
        </w:rPr>
        <w:t>中标供应商</w:t>
      </w:r>
      <w:r>
        <w:rPr>
          <w:rFonts w:hint="eastAsia" w:ascii="宋体" w:hAnsi="宋体" w:eastAsia="宋体" w:cs="宋体"/>
          <w:color w:val="auto"/>
          <w:sz w:val="24"/>
          <w:szCs w:val="24"/>
        </w:rPr>
        <w:t>月度考核分值低于75分的次数：第1次低于75分的则采购人有权扣除当年度履约保证金50%并不予退还；第2次低于75分的则采购人有权扣除当年度剩余履约保证金并不予退还；第3次低于75分的则采购人有权解除合同，同时依据相关法律法规对</w:t>
      </w:r>
      <w:r>
        <w:rPr>
          <w:rFonts w:hint="eastAsia" w:ascii="宋体" w:hAnsi="宋体" w:eastAsia="宋体" w:cs="宋体"/>
          <w:color w:val="auto"/>
          <w:sz w:val="24"/>
          <w:szCs w:val="24"/>
          <w:lang w:eastAsia="zh-CN"/>
        </w:rPr>
        <w:t>中标供应商</w:t>
      </w:r>
      <w:r>
        <w:rPr>
          <w:rFonts w:hint="eastAsia" w:ascii="宋体" w:hAnsi="宋体" w:eastAsia="宋体" w:cs="宋体"/>
          <w:color w:val="auto"/>
          <w:sz w:val="24"/>
          <w:szCs w:val="24"/>
        </w:rPr>
        <w:t>不良履约行为予以追责。</w:t>
      </w:r>
    </w:p>
    <w:p w14:paraId="0DEA38ED">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、中标供应商</w:t>
      </w:r>
      <w:r>
        <w:rPr>
          <w:rFonts w:hint="eastAsia" w:ascii="宋体" w:hAnsi="宋体" w:eastAsia="宋体" w:cs="宋体"/>
          <w:color w:val="auto"/>
          <w:sz w:val="24"/>
          <w:szCs w:val="24"/>
        </w:rPr>
        <w:t>月度考核分值在90分（含）以上的则不予扣除履约保证金；月度考核分值在75（含本数）-90分（不含本数）的，每低于1分则采购人有权扣除履约保证金200元且不予退还，以此类推。</w:t>
      </w:r>
    </w:p>
    <w:p w14:paraId="7E128E69">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、中标供应商</w:t>
      </w:r>
      <w:r>
        <w:rPr>
          <w:rFonts w:hint="eastAsia" w:ascii="宋体" w:hAnsi="宋体" w:eastAsia="宋体" w:cs="宋体"/>
          <w:color w:val="auto"/>
          <w:sz w:val="24"/>
          <w:szCs w:val="24"/>
        </w:rPr>
        <w:t>在一个考核年度内被投诉至政府相关主管部门及其门户网站次数达2次的或未经采购人许可擅自调整收费标准且被查实的，采购人有权解除合同并不予退还全部履约保证金，同时在采购人官网予以公示。</w:t>
      </w:r>
    </w:p>
    <w:p w14:paraId="72DDB6F8">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护理员工作应符合病区管理及患者服务需求，服务态度及服务质量应达到病区及患者满意。院方会根据</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上一年度综合服务质量考核情况，决定是否续签合同。出现以下情况，医院有权与</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终止合同并没收全部履约保证金</w:t>
      </w:r>
      <w:r>
        <w:rPr>
          <w:rFonts w:hint="eastAsia" w:ascii="宋体" w:hAnsi="宋体" w:eastAsia="宋体" w:cs="宋体"/>
          <w:color w:val="auto"/>
          <w:sz w:val="24"/>
          <w:szCs w:val="24"/>
          <w:lang w:eastAsia="zh-CN"/>
        </w:rPr>
        <w:t>：</w:t>
      </w:r>
    </w:p>
    <w:p w14:paraId="6736ACAD">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一个考核年度内服务质量评价平均分低于90分，或连续三个月均低于90分；</w:t>
      </w:r>
    </w:p>
    <w:p w14:paraId="1D7624E0">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严重违反护理服务承诺，给医院、患者合法权益造成重大损失。</w:t>
      </w:r>
    </w:p>
    <w:p w14:paraId="3221CC77">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p>
    <w:p w14:paraId="28BBC397">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p>
    <w:p w14:paraId="0EBB9EEE">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p>
    <w:p w14:paraId="75F88074">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p>
    <w:p w14:paraId="6BF21C16">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p>
    <w:p w14:paraId="712993F7">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rPr>
      </w:pPr>
    </w:p>
    <w:p w14:paraId="03FB3B4F">
      <w:pPr>
        <w:pStyle w:val="8"/>
        <w:pageBreakBefore w:val="0"/>
        <w:kinsoku/>
        <w:wordWrap/>
        <w:overflowPunct/>
        <w:topLinePunct w:val="0"/>
        <w:bidi w:val="0"/>
        <w:snapToGrid/>
        <w:spacing w:after="0" w:line="560" w:lineRule="exact"/>
        <w:ind w:left="0" w:leftChars="0" w:firstLine="0" w:firstLineChars="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附件1  等级服务</w:t>
      </w:r>
    </w:p>
    <w:tbl>
      <w:tblPr>
        <w:tblStyle w:val="10"/>
        <w:tblW w:w="10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7"/>
        <w:gridCol w:w="2398"/>
        <w:gridCol w:w="2429"/>
        <w:gridCol w:w="4474"/>
      </w:tblGrid>
      <w:tr w14:paraId="0DC9A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1337" w:type="dxa"/>
            <w:noWrap w:val="0"/>
            <w:vAlign w:val="center"/>
          </w:tcPr>
          <w:p w14:paraId="36724025">
            <w:pPr>
              <w:keepNext w:val="0"/>
              <w:keepLines w:val="0"/>
              <w:pageBreakBefore w:val="0"/>
              <w:kinsoku/>
              <w:wordWrap/>
              <w:overflowPunct/>
              <w:topLinePunct w:val="0"/>
              <w:autoSpaceDE/>
              <w:autoSpaceDN/>
              <w:bidi w:val="0"/>
              <w:adjustRightInd/>
              <w:snapToGrid/>
              <w:spacing w:line="240" w:lineRule="auto"/>
              <w:ind w:left="0" w:left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服务</w:t>
            </w:r>
          </w:p>
          <w:p w14:paraId="607A5E64">
            <w:pPr>
              <w:keepNext w:val="0"/>
              <w:keepLines w:val="0"/>
              <w:pageBreakBefore w:val="0"/>
              <w:kinsoku/>
              <w:wordWrap/>
              <w:overflowPunct/>
              <w:topLinePunct w:val="0"/>
              <w:autoSpaceDE/>
              <w:autoSpaceDN/>
              <w:bidi w:val="0"/>
              <w:adjustRightInd/>
              <w:snapToGrid/>
              <w:spacing w:line="240" w:lineRule="auto"/>
              <w:ind w:left="0" w:left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等级</w:t>
            </w:r>
          </w:p>
        </w:tc>
        <w:tc>
          <w:tcPr>
            <w:tcW w:w="2398" w:type="dxa"/>
            <w:noWrap w:val="0"/>
            <w:vAlign w:val="center"/>
          </w:tcPr>
          <w:p w14:paraId="2D81B11D">
            <w:pPr>
              <w:keepNext w:val="0"/>
              <w:keepLines w:val="0"/>
              <w:pageBreakBefore w:val="0"/>
              <w:kinsoku/>
              <w:wordWrap/>
              <w:overflowPunct/>
              <w:topLinePunct w:val="0"/>
              <w:autoSpaceDE/>
              <w:autoSpaceDN/>
              <w:bidi w:val="0"/>
              <w:adjustRightInd/>
              <w:snapToGrid/>
              <w:spacing w:line="240" w:lineRule="auto"/>
              <w:ind w:left="0" w:left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服务单价限价</w:t>
            </w:r>
          </w:p>
        </w:tc>
        <w:tc>
          <w:tcPr>
            <w:tcW w:w="2429" w:type="dxa"/>
            <w:noWrap w:val="0"/>
            <w:vAlign w:val="center"/>
          </w:tcPr>
          <w:p w14:paraId="2172242C">
            <w:pPr>
              <w:keepNext w:val="0"/>
              <w:keepLines w:val="0"/>
              <w:pageBreakBefore w:val="0"/>
              <w:kinsoku/>
              <w:wordWrap/>
              <w:overflowPunct/>
              <w:topLinePunct w:val="0"/>
              <w:autoSpaceDE/>
              <w:autoSpaceDN/>
              <w:bidi w:val="0"/>
              <w:adjustRightInd/>
              <w:snapToGrid/>
              <w:spacing w:line="240" w:lineRule="auto"/>
              <w:ind w:left="0" w:left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适用范围</w:t>
            </w:r>
          </w:p>
        </w:tc>
        <w:tc>
          <w:tcPr>
            <w:tcW w:w="4474" w:type="dxa"/>
            <w:noWrap w:val="0"/>
            <w:vAlign w:val="center"/>
          </w:tcPr>
          <w:p w14:paraId="36248370">
            <w:pPr>
              <w:keepNext w:val="0"/>
              <w:keepLines w:val="0"/>
              <w:pageBreakBefore w:val="0"/>
              <w:kinsoku/>
              <w:wordWrap/>
              <w:overflowPunct/>
              <w:topLinePunct w:val="0"/>
              <w:autoSpaceDE/>
              <w:autoSpaceDN/>
              <w:bidi w:val="0"/>
              <w:adjustRightInd/>
              <w:snapToGrid/>
              <w:spacing w:line="240" w:lineRule="auto"/>
              <w:ind w:left="0" w:left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主要内容</w:t>
            </w:r>
          </w:p>
        </w:tc>
      </w:tr>
      <w:tr w14:paraId="37995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3" w:hRule="atLeast"/>
          <w:jc w:val="center"/>
        </w:trPr>
        <w:tc>
          <w:tcPr>
            <w:tcW w:w="1337" w:type="dxa"/>
            <w:noWrap w:val="0"/>
            <w:vAlign w:val="center"/>
          </w:tcPr>
          <w:p w14:paraId="4E542DDC">
            <w:pPr>
              <w:keepNext w:val="0"/>
              <w:keepLines w:val="0"/>
              <w:pageBreakBefore w:val="0"/>
              <w:kinsoku/>
              <w:wordWrap/>
              <w:overflowPunct/>
              <w:topLinePunct w:val="0"/>
              <w:autoSpaceDE/>
              <w:autoSpaceDN/>
              <w:bidi w:val="0"/>
              <w:adjustRightInd/>
              <w:snapToGrid/>
              <w:spacing w:line="240" w:lineRule="auto"/>
              <w:ind w:left="0" w:left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C级</w:t>
            </w:r>
          </w:p>
        </w:tc>
        <w:tc>
          <w:tcPr>
            <w:tcW w:w="2398" w:type="dxa"/>
            <w:noWrap w:val="0"/>
            <w:vAlign w:val="center"/>
          </w:tcPr>
          <w:p w14:paraId="0021DA53">
            <w:pPr>
              <w:keepNext w:val="0"/>
              <w:keepLines w:val="0"/>
              <w:pageBreakBefore w:val="0"/>
              <w:kinsoku/>
              <w:wordWrap/>
              <w:overflowPunct/>
              <w:topLinePunct w:val="0"/>
              <w:autoSpaceDE/>
              <w:autoSpaceDN/>
              <w:bidi w:val="0"/>
              <w:adjustRightInd/>
              <w:snapToGrid/>
              <w:spacing w:line="240" w:lineRule="auto"/>
              <w:ind w:left="0" w:leftChars="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一对一：1</w:t>
            </w:r>
            <w:r>
              <w:rPr>
                <w:rFonts w:hint="eastAsia" w:ascii="宋体" w:hAnsi="宋体" w:eastAsia="宋体" w:cs="宋体"/>
                <w:b w:val="0"/>
                <w:bCs w:val="0"/>
                <w:color w:val="auto"/>
                <w:sz w:val="24"/>
                <w:szCs w:val="24"/>
                <w:lang w:val="en-US" w:eastAsia="zh-CN"/>
              </w:rPr>
              <w:t>7</w:t>
            </w:r>
            <w:r>
              <w:rPr>
                <w:rFonts w:hint="eastAsia" w:ascii="宋体" w:hAnsi="宋体" w:eastAsia="宋体" w:cs="宋体"/>
                <w:b w:val="0"/>
                <w:bCs w:val="0"/>
                <w:color w:val="auto"/>
                <w:sz w:val="24"/>
                <w:szCs w:val="24"/>
              </w:rPr>
              <w:t>0元/天</w:t>
            </w:r>
          </w:p>
          <w:p w14:paraId="18BEB4C1">
            <w:pPr>
              <w:keepNext w:val="0"/>
              <w:keepLines w:val="0"/>
              <w:pageBreakBefore w:val="0"/>
              <w:kinsoku/>
              <w:wordWrap/>
              <w:overflowPunct/>
              <w:topLinePunct w:val="0"/>
              <w:autoSpaceDE/>
              <w:autoSpaceDN/>
              <w:bidi w:val="0"/>
              <w:adjustRightInd/>
              <w:snapToGrid/>
              <w:spacing w:line="240" w:lineRule="auto"/>
              <w:ind w:left="0" w:leftChars="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一对二：1</w:t>
            </w:r>
            <w:r>
              <w:rPr>
                <w:rFonts w:hint="eastAsia" w:ascii="宋体" w:hAnsi="宋体" w:eastAsia="宋体" w:cs="宋体"/>
                <w:b w:val="0"/>
                <w:bCs w:val="0"/>
                <w:color w:val="auto"/>
                <w:sz w:val="24"/>
                <w:szCs w:val="24"/>
                <w:lang w:val="en-US" w:eastAsia="zh-CN"/>
              </w:rPr>
              <w:t>5</w:t>
            </w:r>
            <w:r>
              <w:rPr>
                <w:rFonts w:hint="eastAsia" w:ascii="宋体" w:hAnsi="宋体" w:eastAsia="宋体" w:cs="宋体"/>
                <w:b w:val="0"/>
                <w:bCs w:val="0"/>
                <w:color w:val="auto"/>
                <w:sz w:val="24"/>
                <w:szCs w:val="24"/>
              </w:rPr>
              <w:t>0元/天</w:t>
            </w:r>
          </w:p>
          <w:p w14:paraId="69D3A382">
            <w:pPr>
              <w:pStyle w:val="8"/>
              <w:keepNext w:val="0"/>
              <w:keepLines w:val="0"/>
              <w:pageBreakBefore w:val="0"/>
              <w:kinsoku/>
              <w:wordWrap/>
              <w:overflowPunct/>
              <w:topLinePunct w:val="0"/>
              <w:autoSpaceDE/>
              <w:autoSpaceDN/>
              <w:bidi w:val="0"/>
              <w:adjustRightInd/>
              <w:snapToGrid/>
              <w:spacing w:after="0" w:line="240" w:lineRule="auto"/>
              <w:ind w:left="0" w:leftChars="0" w:firstLine="0" w:firstLineChars="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一对三：1</w:t>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0元/天</w:t>
            </w:r>
          </w:p>
        </w:tc>
        <w:tc>
          <w:tcPr>
            <w:tcW w:w="2429" w:type="dxa"/>
            <w:noWrap w:val="0"/>
            <w:vAlign w:val="center"/>
          </w:tcPr>
          <w:p w14:paraId="448585F8">
            <w:pPr>
              <w:keepNext w:val="0"/>
              <w:keepLines w:val="0"/>
              <w:pageBreakBefore w:val="0"/>
              <w:kinsoku/>
              <w:wordWrap/>
              <w:overflowPunct/>
              <w:topLinePunct w:val="0"/>
              <w:autoSpaceDE/>
              <w:autoSpaceDN/>
              <w:bidi w:val="0"/>
              <w:adjustRightInd/>
              <w:snapToGrid/>
              <w:spacing w:line="240" w:lineRule="auto"/>
              <w:ind w:left="0" w:leftChars="0"/>
              <w:jc w:val="left"/>
              <w:rPr>
                <w:rFonts w:hint="eastAsia" w:ascii="宋体" w:hAnsi="宋体" w:eastAsia="宋体" w:cs="宋体"/>
                <w:color w:val="auto"/>
                <w:sz w:val="24"/>
                <w:szCs w:val="24"/>
              </w:rPr>
            </w:pPr>
            <w:r>
              <w:rPr>
                <w:rFonts w:hint="eastAsia" w:ascii="宋体" w:hAnsi="宋体" w:eastAsia="宋体" w:cs="宋体"/>
                <w:color w:val="auto"/>
                <w:sz w:val="24"/>
                <w:szCs w:val="24"/>
              </w:rPr>
              <w:t>适用于能下床活动，生活可自理的病员。比如病情较轻、术前检查、正常孕妇等。</w:t>
            </w:r>
          </w:p>
        </w:tc>
        <w:tc>
          <w:tcPr>
            <w:tcW w:w="4474" w:type="dxa"/>
            <w:noWrap w:val="0"/>
            <w:vAlign w:val="center"/>
          </w:tcPr>
          <w:p w14:paraId="30E4DAE9">
            <w:pPr>
              <w:keepNext w:val="0"/>
              <w:keepLines w:val="0"/>
              <w:pageBreakBefore w:val="0"/>
              <w:kinsoku/>
              <w:wordWrap/>
              <w:overflowPunct/>
              <w:topLinePunct w:val="0"/>
              <w:autoSpaceDE/>
              <w:autoSpaceDN/>
              <w:bidi w:val="0"/>
              <w:adjustRightInd/>
              <w:snapToGrid/>
              <w:spacing w:line="240" w:lineRule="auto"/>
              <w:ind w:left="0" w:left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1、打开水、打饭、餐后整理、买日用品；2、观察输液、整理床单元；3、洗脚、刮胡须、修剪指（趾）甲；4、日夜巡视，12小时轮班服务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5、其他需要完成的工作。</w:t>
            </w:r>
          </w:p>
        </w:tc>
      </w:tr>
      <w:tr w14:paraId="15A91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4" w:hRule="atLeast"/>
          <w:jc w:val="center"/>
        </w:trPr>
        <w:tc>
          <w:tcPr>
            <w:tcW w:w="1337" w:type="dxa"/>
            <w:noWrap w:val="0"/>
            <w:vAlign w:val="center"/>
          </w:tcPr>
          <w:p w14:paraId="5FC25C67">
            <w:pPr>
              <w:keepNext w:val="0"/>
              <w:keepLines w:val="0"/>
              <w:pageBreakBefore w:val="0"/>
              <w:kinsoku/>
              <w:wordWrap/>
              <w:overflowPunct/>
              <w:topLinePunct w:val="0"/>
              <w:autoSpaceDE/>
              <w:autoSpaceDN/>
              <w:bidi w:val="0"/>
              <w:adjustRightInd/>
              <w:snapToGrid/>
              <w:spacing w:line="240" w:lineRule="auto"/>
              <w:ind w:left="0" w:left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B级</w:t>
            </w:r>
          </w:p>
        </w:tc>
        <w:tc>
          <w:tcPr>
            <w:tcW w:w="2398" w:type="dxa"/>
            <w:noWrap w:val="0"/>
            <w:vAlign w:val="center"/>
          </w:tcPr>
          <w:p w14:paraId="6F3848BE">
            <w:pPr>
              <w:keepNext w:val="0"/>
              <w:keepLines w:val="0"/>
              <w:pageBreakBefore w:val="0"/>
              <w:kinsoku/>
              <w:wordWrap/>
              <w:overflowPunct/>
              <w:topLinePunct w:val="0"/>
              <w:autoSpaceDE/>
              <w:autoSpaceDN/>
              <w:bidi w:val="0"/>
              <w:adjustRightInd/>
              <w:snapToGrid/>
              <w:spacing w:line="240" w:lineRule="auto"/>
              <w:ind w:left="0" w:leftChars="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一对一：</w:t>
            </w:r>
            <w:r>
              <w:rPr>
                <w:rFonts w:hint="eastAsia" w:ascii="宋体" w:hAnsi="宋体" w:eastAsia="宋体" w:cs="宋体"/>
                <w:b w:val="0"/>
                <w:bCs w:val="0"/>
                <w:color w:val="auto"/>
                <w:sz w:val="24"/>
                <w:szCs w:val="24"/>
                <w:lang w:val="en-US" w:eastAsia="zh-CN"/>
              </w:rPr>
              <w:t>19</w:t>
            </w:r>
            <w:r>
              <w:rPr>
                <w:rFonts w:hint="eastAsia" w:ascii="宋体" w:hAnsi="宋体" w:eastAsia="宋体" w:cs="宋体"/>
                <w:b w:val="0"/>
                <w:bCs w:val="0"/>
                <w:color w:val="auto"/>
                <w:sz w:val="24"/>
                <w:szCs w:val="24"/>
              </w:rPr>
              <w:t>0元/天</w:t>
            </w:r>
          </w:p>
          <w:p w14:paraId="257AB6C3">
            <w:pPr>
              <w:pStyle w:val="8"/>
              <w:keepNext w:val="0"/>
              <w:keepLines w:val="0"/>
              <w:pageBreakBefore w:val="0"/>
              <w:kinsoku/>
              <w:wordWrap/>
              <w:overflowPunct/>
              <w:topLinePunct w:val="0"/>
              <w:autoSpaceDE/>
              <w:autoSpaceDN/>
              <w:bidi w:val="0"/>
              <w:adjustRightInd/>
              <w:snapToGrid/>
              <w:spacing w:after="0" w:line="240" w:lineRule="auto"/>
              <w:ind w:left="0" w:leftChars="0" w:firstLine="0" w:firstLineChars="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一对二：1</w:t>
            </w:r>
            <w:r>
              <w:rPr>
                <w:rFonts w:hint="eastAsia" w:ascii="宋体" w:hAnsi="宋体" w:eastAsia="宋体" w:cs="宋体"/>
                <w:b w:val="0"/>
                <w:bCs w:val="0"/>
                <w:color w:val="auto"/>
                <w:sz w:val="24"/>
                <w:szCs w:val="24"/>
                <w:lang w:val="en-US" w:eastAsia="zh-CN"/>
              </w:rPr>
              <w:t>7</w:t>
            </w:r>
            <w:r>
              <w:rPr>
                <w:rFonts w:hint="eastAsia" w:ascii="宋体" w:hAnsi="宋体" w:eastAsia="宋体" w:cs="宋体"/>
                <w:b w:val="0"/>
                <w:bCs w:val="0"/>
                <w:color w:val="auto"/>
                <w:sz w:val="24"/>
                <w:szCs w:val="24"/>
              </w:rPr>
              <w:t>0元/天</w:t>
            </w:r>
          </w:p>
        </w:tc>
        <w:tc>
          <w:tcPr>
            <w:tcW w:w="2429" w:type="dxa"/>
            <w:noWrap w:val="0"/>
            <w:vAlign w:val="center"/>
          </w:tcPr>
          <w:p w14:paraId="0A79436A">
            <w:pPr>
              <w:keepNext w:val="0"/>
              <w:keepLines w:val="0"/>
              <w:pageBreakBefore w:val="0"/>
              <w:kinsoku/>
              <w:wordWrap/>
              <w:overflowPunct/>
              <w:topLinePunct w:val="0"/>
              <w:autoSpaceDE/>
              <w:autoSpaceDN/>
              <w:bidi w:val="0"/>
              <w:adjustRightInd/>
              <w:snapToGrid/>
              <w:spacing w:line="240" w:lineRule="auto"/>
              <w:ind w:left="0" w:leftChars="0"/>
              <w:jc w:val="left"/>
              <w:rPr>
                <w:rFonts w:hint="eastAsia" w:ascii="宋体" w:hAnsi="宋体" w:eastAsia="宋体" w:cs="宋体"/>
                <w:color w:val="auto"/>
                <w:sz w:val="24"/>
                <w:szCs w:val="24"/>
              </w:rPr>
            </w:pPr>
            <w:r>
              <w:rPr>
                <w:rFonts w:hint="eastAsia" w:ascii="宋体" w:hAnsi="宋体" w:eastAsia="宋体" w:cs="宋体"/>
                <w:color w:val="auto"/>
                <w:sz w:val="24"/>
                <w:szCs w:val="24"/>
              </w:rPr>
              <w:t>适用于部分生活不能完全自理的病员。比如年老体弱或者一般性手术后行动不便的。</w:t>
            </w:r>
          </w:p>
        </w:tc>
        <w:tc>
          <w:tcPr>
            <w:tcW w:w="4474" w:type="dxa"/>
            <w:noWrap w:val="0"/>
            <w:vAlign w:val="center"/>
          </w:tcPr>
          <w:p w14:paraId="37B76762">
            <w:pPr>
              <w:keepNext w:val="0"/>
              <w:keepLines w:val="0"/>
              <w:pageBreakBefore w:val="0"/>
              <w:kinsoku/>
              <w:wordWrap/>
              <w:overflowPunct/>
              <w:topLinePunct w:val="0"/>
              <w:autoSpaceDE/>
              <w:autoSpaceDN/>
              <w:bidi w:val="0"/>
              <w:adjustRightInd/>
              <w:snapToGrid/>
              <w:spacing w:line="240" w:lineRule="auto"/>
              <w:ind w:left="0" w:leftChars="0"/>
              <w:jc w:val="left"/>
              <w:rPr>
                <w:rFonts w:hint="eastAsia" w:ascii="宋体" w:hAnsi="宋体" w:eastAsia="宋体" w:cs="宋体"/>
                <w:color w:val="auto"/>
                <w:sz w:val="24"/>
                <w:szCs w:val="24"/>
              </w:rPr>
            </w:pPr>
            <w:r>
              <w:rPr>
                <w:rFonts w:hint="eastAsia" w:ascii="宋体" w:hAnsi="宋体" w:eastAsia="宋体" w:cs="宋体"/>
                <w:color w:val="auto"/>
                <w:sz w:val="24"/>
                <w:szCs w:val="24"/>
              </w:rPr>
              <w:t>1、打开水、打饭、餐后整理、买日用品；2、整理床单元、观察输液；3、协助大小便及便器的清洁、消毒；4、洗脚、刮胡须、修剪指（趾）甲；5、协助擦浴或洗浴（夏天每天一次，冬天三天一次）；6、日夜巡视，12小时轮班服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7、其他需要完成的工作。</w:t>
            </w:r>
          </w:p>
        </w:tc>
      </w:tr>
      <w:tr w14:paraId="33486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0" w:hRule="atLeast"/>
          <w:jc w:val="center"/>
        </w:trPr>
        <w:tc>
          <w:tcPr>
            <w:tcW w:w="1337" w:type="dxa"/>
            <w:noWrap w:val="0"/>
            <w:vAlign w:val="center"/>
          </w:tcPr>
          <w:p w14:paraId="4F674A5A">
            <w:pPr>
              <w:keepNext w:val="0"/>
              <w:keepLines w:val="0"/>
              <w:pageBreakBefore w:val="0"/>
              <w:kinsoku/>
              <w:wordWrap/>
              <w:overflowPunct/>
              <w:topLinePunct w:val="0"/>
              <w:autoSpaceDE/>
              <w:autoSpaceDN/>
              <w:bidi w:val="0"/>
              <w:adjustRightInd/>
              <w:snapToGrid/>
              <w:spacing w:line="240" w:lineRule="auto"/>
              <w:ind w:left="0" w:left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A级</w:t>
            </w:r>
          </w:p>
        </w:tc>
        <w:tc>
          <w:tcPr>
            <w:tcW w:w="2398" w:type="dxa"/>
            <w:noWrap w:val="0"/>
            <w:vAlign w:val="center"/>
          </w:tcPr>
          <w:p w14:paraId="49D100ED">
            <w:pPr>
              <w:keepNext w:val="0"/>
              <w:keepLines w:val="0"/>
              <w:pageBreakBefore w:val="0"/>
              <w:kinsoku/>
              <w:wordWrap/>
              <w:overflowPunct/>
              <w:topLinePunct w:val="0"/>
              <w:autoSpaceDE/>
              <w:autoSpaceDN/>
              <w:bidi w:val="0"/>
              <w:adjustRightInd/>
              <w:snapToGrid/>
              <w:spacing w:line="240" w:lineRule="auto"/>
              <w:ind w:left="0" w:leftChars="0"/>
              <w:jc w:val="left"/>
              <w:rPr>
                <w:rFonts w:hint="eastAsia" w:ascii="宋体" w:hAnsi="宋体" w:eastAsia="宋体" w:cs="宋体"/>
                <w:b w:val="0"/>
                <w:bCs w:val="0"/>
                <w:color w:val="auto"/>
                <w:sz w:val="24"/>
                <w:szCs w:val="24"/>
              </w:rPr>
            </w:pPr>
          </w:p>
          <w:p w14:paraId="4C4D2BAC">
            <w:pPr>
              <w:keepNext w:val="0"/>
              <w:keepLines w:val="0"/>
              <w:pageBreakBefore w:val="0"/>
              <w:kinsoku/>
              <w:wordWrap/>
              <w:overflowPunct/>
              <w:topLinePunct w:val="0"/>
              <w:autoSpaceDE/>
              <w:autoSpaceDN/>
              <w:bidi w:val="0"/>
              <w:adjustRightInd/>
              <w:snapToGrid/>
              <w:spacing w:line="240" w:lineRule="auto"/>
              <w:ind w:left="0" w:leftChars="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一对一：2</w:t>
            </w: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0元/天</w:t>
            </w:r>
          </w:p>
          <w:p w14:paraId="433B40EF">
            <w:pPr>
              <w:pStyle w:val="8"/>
              <w:keepNext w:val="0"/>
              <w:keepLines w:val="0"/>
              <w:pageBreakBefore w:val="0"/>
              <w:kinsoku/>
              <w:wordWrap/>
              <w:overflowPunct/>
              <w:topLinePunct w:val="0"/>
              <w:autoSpaceDE/>
              <w:autoSpaceDN/>
              <w:bidi w:val="0"/>
              <w:adjustRightInd/>
              <w:snapToGrid/>
              <w:spacing w:after="0" w:line="240" w:lineRule="auto"/>
              <w:ind w:left="0" w:leftChars="0" w:firstLine="422"/>
              <w:jc w:val="left"/>
              <w:rPr>
                <w:rFonts w:hint="eastAsia" w:ascii="宋体" w:hAnsi="宋体" w:eastAsia="宋体" w:cs="宋体"/>
                <w:b w:val="0"/>
                <w:bCs w:val="0"/>
                <w:color w:val="auto"/>
                <w:sz w:val="24"/>
                <w:szCs w:val="24"/>
              </w:rPr>
            </w:pPr>
          </w:p>
        </w:tc>
        <w:tc>
          <w:tcPr>
            <w:tcW w:w="2429" w:type="dxa"/>
            <w:noWrap w:val="0"/>
            <w:vAlign w:val="center"/>
          </w:tcPr>
          <w:p w14:paraId="5E0D35A0">
            <w:pPr>
              <w:keepNext w:val="0"/>
              <w:keepLines w:val="0"/>
              <w:pageBreakBefore w:val="0"/>
              <w:kinsoku/>
              <w:wordWrap/>
              <w:overflowPunct/>
              <w:topLinePunct w:val="0"/>
              <w:autoSpaceDE/>
              <w:autoSpaceDN/>
              <w:bidi w:val="0"/>
              <w:adjustRightInd/>
              <w:snapToGrid/>
              <w:spacing w:line="240" w:lineRule="auto"/>
              <w:ind w:left="0" w:leftChars="0"/>
              <w:jc w:val="left"/>
              <w:rPr>
                <w:rFonts w:hint="eastAsia" w:ascii="宋体" w:hAnsi="宋体" w:eastAsia="宋体" w:cs="宋体"/>
                <w:color w:val="auto"/>
                <w:sz w:val="24"/>
                <w:szCs w:val="24"/>
              </w:rPr>
            </w:pPr>
            <w:r>
              <w:rPr>
                <w:rFonts w:hint="eastAsia" w:ascii="宋体" w:hAnsi="宋体" w:eastAsia="宋体" w:cs="宋体"/>
                <w:color w:val="auto"/>
                <w:sz w:val="24"/>
                <w:szCs w:val="24"/>
              </w:rPr>
              <w:t>适用于生活基本不能自理的病员。比如病重期尚需观察的、手术后病情相对稳定但体位受控的。</w:t>
            </w:r>
          </w:p>
        </w:tc>
        <w:tc>
          <w:tcPr>
            <w:tcW w:w="4474" w:type="dxa"/>
            <w:noWrap w:val="0"/>
            <w:vAlign w:val="center"/>
          </w:tcPr>
          <w:p w14:paraId="4CF34E6E">
            <w:pPr>
              <w:keepNext w:val="0"/>
              <w:keepLines w:val="0"/>
              <w:pageBreakBefore w:val="0"/>
              <w:kinsoku/>
              <w:wordWrap/>
              <w:overflowPunct/>
              <w:topLinePunct w:val="0"/>
              <w:autoSpaceDE/>
              <w:autoSpaceDN/>
              <w:bidi w:val="0"/>
              <w:adjustRightInd/>
              <w:snapToGrid/>
              <w:spacing w:line="240" w:lineRule="auto"/>
              <w:ind w:left="0" w:leftChars="0"/>
              <w:jc w:val="left"/>
              <w:rPr>
                <w:rFonts w:hint="eastAsia" w:ascii="宋体" w:hAnsi="宋体" w:eastAsia="宋体" w:cs="宋体"/>
                <w:color w:val="auto"/>
                <w:sz w:val="24"/>
                <w:szCs w:val="24"/>
              </w:rPr>
            </w:pPr>
            <w:r>
              <w:rPr>
                <w:rFonts w:hint="eastAsia" w:ascii="宋体" w:hAnsi="宋体" w:eastAsia="宋体" w:cs="宋体"/>
                <w:color w:val="auto"/>
                <w:sz w:val="24"/>
                <w:szCs w:val="24"/>
              </w:rPr>
              <w:t>1、打开水、打饭、餐后整理、买日用品；2、整理床单元、观察输液；3、协助大小便及便器的清洁、消毒；4、洗脚、刮胡须、修剪指（趾）甲；5、协助擦浴或洗浴（夏天每天一次，冬天三天一次）；6、协助喂饭、喂药；7、翻身、拍背排痰；8、日夜巡视，12小时轮班服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8、其他需要完成的工作。</w:t>
            </w:r>
          </w:p>
        </w:tc>
      </w:tr>
      <w:tr w14:paraId="348ED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5" w:hRule="atLeast"/>
          <w:jc w:val="center"/>
        </w:trPr>
        <w:tc>
          <w:tcPr>
            <w:tcW w:w="1337" w:type="dxa"/>
            <w:noWrap w:val="0"/>
            <w:vAlign w:val="center"/>
          </w:tcPr>
          <w:p w14:paraId="25B69815">
            <w:pPr>
              <w:keepNext w:val="0"/>
              <w:keepLines w:val="0"/>
              <w:pageBreakBefore w:val="0"/>
              <w:kinsoku/>
              <w:wordWrap/>
              <w:overflowPunct/>
              <w:topLinePunct w:val="0"/>
              <w:autoSpaceDE/>
              <w:autoSpaceDN/>
              <w:bidi w:val="0"/>
              <w:adjustRightInd/>
              <w:snapToGrid/>
              <w:spacing w:line="240" w:lineRule="auto"/>
              <w:ind w:left="0" w:leftChars="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特级</w:t>
            </w:r>
          </w:p>
        </w:tc>
        <w:tc>
          <w:tcPr>
            <w:tcW w:w="2398" w:type="dxa"/>
            <w:noWrap w:val="0"/>
            <w:vAlign w:val="center"/>
          </w:tcPr>
          <w:p w14:paraId="4C4D5ADD">
            <w:pPr>
              <w:keepNext w:val="0"/>
              <w:keepLines w:val="0"/>
              <w:pageBreakBefore w:val="0"/>
              <w:kinsoku/>
              <w:wordWrap/>
              <w:overflowPunct/>
              <w:topLinePunct w:val="0"/>
              <w:autoSpaceDE/>
              <w:autoSpaceDN/>
              <w:bidi w:val="0"/>
              <w:adjustRightInd/>
              <w:snapToGrid/>
              <w:spacing w:line="240" w:lineRule="auto"/>
              <w:ind w:left="0" w:leftChars="0"/>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一对一：2</w:t>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0元/天</w:t>
            </w:r>
          </w:p>
        </w:tc>
        <w:tc>
          <w:tcPr>
            <w:tcW w:w="2429" w:type="dxa"/>
            <w:noWrap w:val="0"/>
            <w:vAlign w:val="center"/>
          </w:tcPr>
          <w:p w14:paraId="5218C0CC">
            <w:pPr>
              <w:keepNext w:val="0"/>
              <w:keepLines w:val="0"/>
              <w:pageBreakBefore w:val="0"/>
              <w:kinsoku/>
              <w:wordWrap/>
              <w:overflowPunct/>
              <w:topLinePunct w:val="0"/>
              <w:autoSpaceDE/>
              <w:autoSpaceDN/>
              <w:bidi w:val="0"/>
              <w:adjustRightInd/>
              <w:snapToGrid/>
              <w:spacing w:line="240" w:lineRule="auto"/>
              <w:ind w:left="0" w:leftChars="0"/>
              <w:jc w:val="left"/>
              <w:rPr>
                <w:rFonts w:hint="eastAsia" w:ascii="宋体" w:hAnsi="宋体" w:eastAsia="宋体" w:cs="宋体"/>
                <w:color w:val="auto"/>
                <w:sz w:val="24"/>
                <w:szCs w:val="24"/>
              </w:rPr>
            </w:pPr>
            <w:r>
              <w:rPr>
                <w:rFonts w:hint="eastAsia" w:ascii="宋体" w:hAnsi="宋体" w:eastAsia="宋体" w:cs="宋体"/>
                <w:color w:val="auto"/>
                <w:sz w:val="24"/>
                <w:szCs w:val="24"/>
              </w:rPr>
              <w:t>适用于生活不能自理的病员，比如病重期或者较大手术后病情不稳定，或有不可控思想及行为等情况。</w:t>
            </w:r>
          </w:p>
        </w:tc>
        <w:tc>
          <w:tcPr>
            <w:tcW w:w="4474" w:type="dxa"/>
            <w:noWrap w:val="0"/>
            <w:vAlign w:val="center"/>
          </w:tcPr>
          <w:p w14:paraId="10136CCC">
            <w:pPr>
              <w:keepNext w:val="0"/>
              <w:keepLines w:val="0"/>
              <w:pageBreakBefore w:val="0"/>
              <w:numPr>
                <w:ilvl w:val="0"/>
                <w:numId w:val="1"/>
              </w:numPr>
              <w:kinsoku/>
              <w:wordWrap/>
              <w:overflowPunct/>
              <w:topLinePunct w:val="0"/>
              <w:autoSpaceDE/>
              <w:autoSpaceDN/>
              <w:bidi w:val="0"/>
              <w:adjustRightInd/>
              <w:snapToGrid/>
              <w:spacing w:line="240" w:lineRule="auto"/>
              <w:ind w:left="0" w:leftChars="0"/>
              <w:jc w:val="left"/>
              <w:rPr>
                <w:rFonts w:hint="eastAsia" w:ascii="宋体" w:hAnsi="宋体" w:eastAsia="宋体" w:cs="宋体"/>
                <w:color w:val="auto"/>
                <w:sz w:val="24"/>
                <w:szCs w:val="24"/>
              </w:rPr>
            </w:pPr>
            <w:r>
              <w:rPr>
                <w:rFonts w:hint="eastAsia" w:ascii="宋体" w:hAnsi="宋体" w:eastAsia="宋体" w:cs="宋体"/>
                <w:color w:val="auto"/>
                <w:sz w:val="24"/>
                <w:szCs w:val="24"/>
              </w:rPr>
              <w:t>按照A级护理服务内容执行；</w:t>
            </w:r>
          </w:p>
          <w:p w14:paraId="38064264">
            <w:pPr>
              <w:keepNext w:val="0"/>
              <w:keepLines w:val="0"/>
              <w:pageBreakBefore w:val="0"/>
              <w:numPr>
                <w:ilvl w:val="0"/>
                <w:numId w:val="1"/>
              </w:numPr>
              <w:kinsoku/>
              <w:wordWrap/>
              <w:overflowPunct/>
              <w:topLinePunct w:val="0"/>
              <w:autoSpaceDE/>
              <w:autoSpaceDN/>
              <w:bidi w:val="0"/>
              <w:adjustRightInd/>
              <w:snapToGrid/>
              <w:spacing w:line="240" w:lineRule="auto"/>
              <w:ind w:left="0" w:leftChars="0"/>
              <w:jc w:val="left"/>
              <w:rPr>
                <w:rFonts w:hint="eastAsia" w:ascii="宋体" w:hAnsi="宋体" w:eastAsia="宋体" w:cs="宋体"/>
                <w:color w:val="auto"/>
                <w:sz w:val="24"/>
                <w:szCs w:val="24"/>
              </w:rPr>
            </w:pPr>
            <w:r>
              <w:rPr>
                <w:rFonts w:hint="eastAsia" w:ascii="宋体" w:hAnsi="宋体" w:eastAsia="宋体" w:cs="宋体"/>
                <w:color w:val="auto"/>
                <w:sz w:val="24"/>
                <w:szCs w:val="24"/>
              </w:rPr>
              <w:t>每班定时巡视，巡视频率加大，特殊病员安排专人看护，12小时轮班服务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3、其他需要完成的工作。</w:t>
            </w:r>
          </w:p>
        </w:tc>
      </w:tr>
    </w:tbl>
    <w:p w14:paraId="5865E902">
      <w:pPr>
        <w:pStyle w:val="8"/>
        <w:keepNext w:val="0"/>
        <w:keepLines w:val="0"/>
        <w:pageBreakBefore w:val="0"/>
        <w:kinsoku/>
        <w:wordWrap/>
        <w:overflowPunct/>
        <w:topLinePunct w:val="0"/>
        <w:autoSpaceDE/>
        <w:autoSpaceDN/>
        <w:bidi w:val="0"/>
        <w:adjustRightInd/>
        <w:snapToGrid/>
        <w:spacing w:after="0" w:line="240" w:lineRule="auto"/>
        <w:ind w:left="0" w:leftChars="0" w:firstLine="0" w:firstLineChars="0"/>
        <w:jc w:val="both"/>
        <w:rPr>
          <w:rFonts w:hint="eastAsia" w:ascii="宋体" w:hAnsi="宋体" w:eastAsia="宋体" w:cs="宋体"/>
          <w:b/>
          <w:bCs/>
          <w:color w:val="auto"/>
          <w:sz w:val="24"/>
          <w:szCs w:val="24"/>
        </w:rPr>
      </w:pPr>
    </w:p>
    <w:p w14:paraId="25596F5A">
      <w:pPr>
        <w:pStyle w:val="8"/>
        <w:keepNext w:val="0"/>
        <w:keepLines w:val="0"/>
        <w:pageBreakBefore w:val="0"/>
        <w:kinsoku/>
        <w:wordWrap/>
        <w:overflowPunct/>
        <w:topLinePunct w:val="0"/>
        <w:autoSpaceDE/>
        <w:autoSpaceDN/>
        <w:bidi w:val="0"/>
        <w:adjustRightInd/>
        <w:snapToGrid/>
        <w:spacing w:after="0" w:line="240" w:lineRule="auto"/>
        <w:ind w:left="0" w:leftChars="0" w:firstLine="0" w:firstLineChars="0"/>
        <w:jc w:val="both"/>
        <w:rPr>
          <w:rFonts w:hint="eastAsia" w:ascii="宋体" w:hAnsi="宋体" w:eastAsia="宋体" w:cs="宋体"/>
          <w:b/>
          <w:bCs/>
          <w:color w:val="auto"/>
          <w:sz w:val="24"/>
          <w:szCs w:val="24"/>
        </w:rPr>
        <w:sectPr>
          <w:headerReference r:id="rId3" w:type="default"/>
          <w:footerReference r:id="rId4" w:type="default"/>
          <w:pgSz w:w="11907" w:h="16840"/>
          <w:pgMar w:top="1440" w:right="1247" w:bottom="1440" w:left="1247" w:header="851" w:footer="992" w:gutter="0"/>
          <w:pgNumType w:fmt="decimal"/>
          <w:cols w:space="720" w:num="1"/>
          <w:docGrid w:linePitch="303" w:charSpace="0"/>
        </w:sectPr>
      </w:pPr>
    </w:p>
    <w:p w14:paraId="3FC8CD92">
      <w:pPr>
        <w:pStyle w:val="8"/>
        <w:keepNext w:val="0"/>
        <w:keepLines w:val="0"/>
        <w:pageBreakBefore w:val="0"/>
        <w:kinsoku/>
        <w:wordWrap/>
        <w:overflowPunct/>
        <w:topLinePunct w:val="0"/>
        <w:autoSpaceDE/>
        <w:autoSpaceDN/>
        <w:bidi w:val="0"/>
        <w:adjustRightInd/>
        <w:snapToGrid/>
        <w:spacing w:after="0" w:line="240" w:lineRule="auto"/>
        <w:ind w:left="0" w:leftChars="0" w:firstLine="0" w:firstLineChars="0"/>
        <w:jc w:val="both"/>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rPr>
        <w:t>附件2  母婴服务</w:t>
      </w:r>
    </w:p>
    <w:tbl>
      <w:tblPr>
        <w:tblStyle w:val="9"/>
        <w:tblW w:w="10138" w:type="dxa"/>
        <w:jc w:val="center"/>
        <w:tblLayout w:type="fixed"/>
        <w:tblCellMar>
          <w:top w:w="0" w:type="dxa"/>
          <w:left w:w="0" w:type="dxa"/>
          <w:bottom w:w="0" w:type="dxa"/>
          <w:right w:w="0" w:type="dxa"/>
        </w:tblCellMar>
      </w:tblPr>
      <w:tblGrid>
        <w:gridCol w:w="1161"/>
        <w:gridCol w:w="1593"/>
        <w:gridCol w:w="7384"/>
      </w:tblGrid>
      <w:tr w14:paraId="4CFCCCA2">
        <w:tblPrEx>
          <w:tblCellMar>
            <w:top w:w="0" w:type="dxa"/>
            <w:left w:w="0" w:type="dxa"/>
            <w:bottom w:w="0" w:type="dxa"/>
            <w:right w:w="0" w:type="dxa"/>
          </w:tblCellMar>
        </w:tblPrEx>
        <w:trPr>
          <w:trHeight w:val="871" w:hRule="atLeast"/>
          <w:jc w:val="center"/>
        </w:trPr>
        <w:tc>
          <w:tcPr>
            <w:tcW w:w="1161"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E0AEEDA">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分级标准</w:t>
            </w:r>
          </w:p>
        </w:tc>
        <w:tc>
          <w:tcPr>
            <w:tcW w:w="1593"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DB9E5FD">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center"/>
              <w:rPr>
                <w:rFonts w:hint="eastAsia" w:ascii="宋体" w:hAnsi="宋体" w:eastAsia="宋体" w:cs="宋体"/>
                <w:b/>
                <w:color w:val="auto"/>
                <w:sz w:val="24"/>
                <w:szCs w:val="24"/>
              </w:rPr>
            </w:pPr>
            <w:r>
              <w:rPr>
                <w:rFonts w:hint="eastAsia" w:ascii="宋体" w:hAnsi="宋体" w:eastAsia="宋体" w:cs="宋体"/>
                <w:b/>
                <w:color w:val="auto"/>
                <w:sz w:val="24"/>
                <w:szCs w:val="24"/>
              </w:rPr>
              <w:t>服务单价限价</w:t>
            </w:r>
          </w:p>
        </w:tc>
        <w:tc>
          <w:tcPr>
            <w:tcW w:w="7384"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4546F5A">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服务内容</w:t>
            </w:r>
          </w:p>
        </w:tc>
      </w:tr>
      <w:tr w14:paraId="1212637E">
        <w:tblPrEx>
          <w:tblCellMar>
            <w:top w:w="0" w:type="dxa"/>
            <w:left w:w="0" w:type="dxa"/>
            <w:bottom w:w="0" w:type="dxa"/>
            <w:right w:w="0" w:type="dxa"/>
          </w:tblCellMar>
        </w:tblPrEx>
        <w:trPr>
          <w:trHeight w:val="2748" w:hRule="atLeast"/>
          <w:jc w:val="center"/>
        </w:trPr>
        <w:tc>
          <w:tcPr>
            <w:tcW w:w="1161"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7F30934">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center"/>
              <w:rPr>
                <w:rFonts w:hint="eastAsia" w:ascii="宋体" w:hAnsi="宋体" w:eastAsia="宋体" w:cs="宋体"/>
                <w:b/>
                <w:color w:val="auto"/>
                <w:kern w:val="0"/>
                <w:sz w:val="24"/>
                <w:szCs w:val="24"/>
                <w:lang w:bidi="ar"/>
              </w:rPr>
            </w:pPr>
            <w:r>
              <w:rPr>
                <w:rFonts w:hint="eastAsia" w:ascii="宋体" w:hAnsi="宋体" w:eastAsia="宋体" w:cs="宋体"/>
                <w:b/>
                <w:color w:val="auto"/>
                <w:kern w:val="0"/>
                <w:sz w:val="24"/>
                <w:szCs w:val="24"/>
                <w:lang w:bidi="ar"/>
              </w:rPr>
              <w:t>顺产</w:t>
            </w:r>
          </w:p>
        </w:tc>
        <w:tc>
          <w:tcPr>
            <w:tcW w:w="1593"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FEBA3ED">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center"/>
              <w:rPr>
                <w:rFonts w:hint="eastAsia" w:ascii="宋体" w:hAnsi="宋体" w:eastAsia="宋体" w:cs="宋体"/>
                <w:b w:val="0"/>
                <w:bCs/>
                <w:color w:val="auto"/>
                <w:kern w:val="0"/>
                <w:sz w:val="24"/>
                <w:szCs w:val="24"/>
                <w:lang w:bidi="ar"/>
              </w:rPr>
            </w:pPr>
            <w:r>
              <w:rPr>
                <w:rFonts w:hint="eastAsia" w:ascii="宋体" w:hAnsi="宋体" w:eastAsia="宋体" w:cs="宋体"/>
                <w:b w:val="0"/>
                <w:bCs/>
                <w:color w:val="auto"/>
                <w:kern w:val="0"/>
                <w:sz w:val="24"/>
                <w:szCs w:val="24"/>
                <w:lang w:bidi="ar"/>
              </w:rPr>
              <w:t>780元</w:t>
            </w:r>
          </w:p>
          <w:p w14:paraId="1EA81A4C">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center"/>
              <w:rPr>
                <w:rFonts w:hint="eastAsia" w:ascii="宋体" w:hAnsi="宋体" w:eastAsia="宋体" w:cs="宋体"/>
                <w:b w:val="0"/>
                <w:bCs/>
                <w:color w:val="auto"/>
                <w:kern w:val="0"/>
                <w:sz w:val="24"/>
                <w:szCs w:val="24"/>
                <w:lang w:bidi="ar"/>
              </w:rPr>
            </w:pPr>
            <w:r>
              <w:rPr>
                <w:rFonts w:hint="eastAsia" w:ascii="宋体" w:hAnsi="宋体" w:eastAsia="宋体" w:cs="宋体"/>
                <w:b w:val="0"/>
                <w:bCs/>
                <w:color w:val="auto"/>
                <w:kern w:val="0"/>
                <w:sz w:val="24"/>
                <w:szCs w:val="24"/>
                <w:lang w:bidi="ar"/>
              </w:rPr>
              <w:t>（打包价）</w:t>
            </w:r>
          </w:p>
        </w:tc>
        <w:tc>
          <w:tcPr>
            <w:tcW w:w="7384"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6AC42B3">
            <w:pPr>
              <w:keepNext w:val="0"/>
              <w:keepLines w:val="0"/>
              <w:pageBreakBefore w:val="0"/>
              <w:kinsoku/>
              <w:wordWrap/>
              <w:overflowPunct/>
              <w:topLinePunct w:val="0"/>
              <w:autoSpaceDE/>
              <w:autoSpaceDN/>
              <w:bidi w:val="0"/>
              <w:adjustRightInd/>
              <w:snapToGrid/>
              <w:spacing w:line="240" w:lineRule="auto"/>
              <w:ind w:left="0" w:leftChars="0"/>
              <w:jc w:val="left"/>
              <w:rPr>
                <w:rFonts w:hint="eastAsia" w:ascii="宋体" w:hAnsi="宋体" w:eastAsia="宋体" w:cs="宋体"/>
                <w:b/>
                <w:color w:val="auto"/>
                <w:kern w:val="0"/>
                <w:sz w:val="24"/>
                <w:szCs w:val="24"/>
                <w:lang w:bidi="ar"/>
              </w:rPr>
            </w:pPr>
            <w:r>
              <w:rPr>
                <w:rFonts w:hint="eastAsia" w:ascii="宋体" w:hAnsi="宋体" w:eastAsia="宋体" w:cs="宋体"/>
                <w:bCs/>
                <w:color w:val="auto"/>
                <w:kern w:val="0"/>
                <w:sz w:val="24"/>
                <w:szCs w:val="24"/>
                <w:lang w:bidi="ar"/>
              </w:rPr>
              <w:t>1、产前提供生活护理、母婴用品设置等；2、产后协助产妇刷牙、洗脸、洗手、梳头、用餐、活动、大小便及会阴清洁；3、看护输液；4、指导产妇乳房护理、母乳喂养。5、协助新生儿喂奶、清洁，更换尿不湿。6、观察产妇及新生儿身体状况，发现异常及时与护士联系。7、协助整理床单元，保持整洁</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7、其他需要完成的工作。</w:t>
            </w:r>
          </w:p>
        </w:tc>
      </w:tr>
      <w:tr w14:paraId="71D27A85">
        <w:tblPrEx>
          <w:tblCellMar>
            <w:top w:w="0" w:type="dxa"/>
            <w:left w:w="0" w:type="dxa"/>
            <w:bottom w:w="0" w:type="dxa"/>
            <w:right w:w="0" w:type="dxa"/>
          </w:tblCellMar>
        </w:tblPrEx>
        <w:trPr>
          <w:trHeight w:val="3290" w:hRule="atLeast"/>
          <w:jc w:val="center"/>
        </w:trPr>
        <w:tc>
          <w:tcPr>
            <w:tcW w:w="1161"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9EB4E90">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center"/>
              <w:rPr>
                <w:rFonts w:hint="eastAsia" w:ascii="宋体" w:hAnsi="宋体" w:eastAsia="宋体" w:cs="宋体"/>
                <w:b/>
                <w:color w:val="auto"/>
                <w:kern w:val="0"/>
                <w:sz w:val="24"/>
                <w:szCs w:val="24"/>
                <w:lang w:bidi="ar"/>
              </w:rPr>
            </w:pPr>
            <w:r>
              <w:rPr>
                <w:rFonts w:hint="eastAsia" w:ascii="宋体" w:hAnsi="宋体" w:eastAsia="宋体" w:cs="宋体"/>
                <w:b/>
                <w:color w:val="auto"/>
                <w:kern w:val="0"/>
                <w:sz w:val="24"/>
                <w:szCs w:val="24"/>
                <w:lang w:bidi="ar"/>
              </w:rPr>
              <w:t>剖宫产</w:t>
            </w:r>
          </w:p>
        </w:tc>
        <w:tc>
          <w:tcPr>
            <w:tcW w:w="1593"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59FCE3D">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center"/>
              <w:rPr>
                <w:rFonts w:hint="eastAsia" w:ascii="宋体" w:hAnsi="宋体" w:eastAsia="宋体" w:cs="宋体"/>
                <w:b w:val="0"/>
                <w:bCs/>
                <w:color w:val="auto"/>
                <w:kern w:val="0"/>
                <w:sz w:val="24"/>
                <w:szCs w:val="24"/>
                <w:lang w:bidi="ar"/>
              </w:rPr>
            </w:pPr>
            <w:r>
              <w:rPr>
                <w:rFonts w:hint="eastAsia" w:ascii="宋体" w:hAnsi="宋体" w:eastAsia="宋体" w:cs="宋体"/>
                <w:b w:val="0"/>
                <w:bCs/>
                <w:color w:val="auto"/>
                <w:kern w:val="0"/>
                <w:sz w:val="24"/>
                <w:szCs w:val="24"/>
                <w:lang w:bidi="ar"/>
              </w:rPr>
              <w:t>1080元</w:t>
            </w:r>
          </w:p>
          <w:p w14:paraId="35A9E91D">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center"/>
              <w:rPr>
                <w:rFonts w:hint="eastAsia" w:ascii="宋体" w:hAnsi="宋体" w:eastAsia="宋体" w:cs="宋体"/>
                <w:b w:val="0"/>
                <w:bCs/>
                <w:color w:val="auto"/>
                <w:kern w:val="0"/>
                <w:sz w:val="24"/>
                <w:szCs w:val="24"/>
                <w:lang w:bidi="ar"/>
              </w:rPr>
            </w:pPr>
            <w:r>
              <w:rPr>
                <w:rFonts w:hint="eastAsia" w:ascii="宋体" w:hAnsi="宋体" w:eastAsia="宋体" w:cs="宋体"/>
                <w:b w:val="0"/>
                <w:bCs/>
                <w:color w:val="auto"/>
                <w:kern w:val="0"/>
                <w:sz w:val="24"/>
                <w:szCs w:val="24"/>
                <w:lang w:bidi="ar"/>
              </w:rPr>
              <w:t>（打包价）</w:t>
            </w:r>
          </w:p>
        </w:tc>
        <w:tc>
          <w:tcPr>
            <w:tcW w:w="7384"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DF1B85E">
            <w:pPr>
              <w:pStyle w:val="8"/>
              <w:keepNext w:val="0"/>
              <w:keepLines w:val="0"/>
              <w:pageBreakBefore w:val="0"/>
              <w:kinsoku/>
              <w:wordWrap/>
              <w:overflowPunct/>
              <w:topLinePunct w:val="0"/>
              <w:autoSpaceDE/>
              <w:autoSpaceDN/>
              <w:bidi w:val="0"/>
              <w:adjustRightInd/>
              <w:snapToGrid/>
              <w:spacing w:after="0" w:line="240" w:lineRule="auto"/>
              <w:ind w:left="0" w:leftChars="0" w:firstLine="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rPr>
              <w:t>1、产前提供生活护理、母婴用品设置等；2、产后协助产妇刷牙、洗脸、洗手、梳头、用餐、活动、大小便及会阴清洁；3、看护输液；4、注意观察切口敷料干燥情况，指导产妇正确翻身、活动等。5、指导产妇乳房护理、母乳喂养。6、协助新生儿喂奶、清洁，更换尿不湿。7、观察产妇及新生儿身体状况，发现异常及时与护士联系。8、协助整理床单元，保持整洁</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8、其他需要完成的工作。</w:t>
            </w:r>
          </w:p>
        </w:tc>
      </w:tr>
      <w:tr w14:paraId="3A9323C5">
        <w:tblPrEx>
          <w:tblCellMar>
            <w:top w:w="0" w:type="dxa"/>
            <w:left w:w="0" w:type="dxa"/>
            <w:bottom w:w="0" w:type="dxa"/>
            <w:right w:w="0" w:type="dxa"/>
          </w:tblCellMar>
        </w:tblPrEx>
        <w:trPr>
          <w:trHeight w:val="889" w:hRule="atLeast"/>
          <w:jc w:val="center"/>
        </w:trPr>
        <w:tc>
          <w:tcPr>
            <w:tcW w:w="1161"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CA061E4">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center"/>
              <w:rPr>
                <w:rFonts w:hint="eastAsia" w:ascii="宋体" w:hAnsi="宋体" w:eastAsia="宋体" w:cs="宋体"/>
                <w:b/>
                <w:color w:val="auto"/>
                <w:kern w:val="0"/>
                <w:sz w:val="24"/>
                <w:szCs w:val="24"/>
                <w:lang w:bidi="ar"/>
              </w:rPr>
            </w:pPr>
            <w:r>
              <w:rPr>
                <w:rFonts w:hint="eastAsia" w:ascii="宋体" w:hAnsi="宋体" w:eastAsia="宋体" w:cs="宋体"/>
                <w:b/>
                <w:color w:val="auto"/>
                <w:kern w:val="0"/>
                <w:sz w:val="24"/>
                <w:szCs w:val="24"/>
                <w:lang w:bidi="ar"/>
              </w:rPr>
              <w:t>备注</w:t>
            </w:r>
          </w:p>
        </w:tc>
        <w:tc>
          <w:tcPr>
            <w:tcW w:w="8977" w:type="dxa"/>
            <w:gridSpan w:val="2"/>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9F7536F">
            <w:pPr>
              <w:keepNext w:val="0"/>
              <w:keepLines w:val="0"/>
              <w:pageBreakBefore w:val="0"/>
              <w:widowControl/>
              <w:kinsoku/>
              <w:wordWrap/>
              <w:overflowPunct/>
              <w:topLinePunct w:val="0"/>
              <w:autoSpaceDE/>
              <w:autoSpaceDN/>
              <w:bidi w:val="0"/>
              <w:adjustRightInd/>
              <w:snapToGrid/>
              <w:spacing w:line="240" w:lineRule="auto"/>
              <w:ind w:left="0" w:leftChars="0"/>
              <w:jc w:val="left"/>
              <w:textAlignment w:val="center"/>
              <w:rPr>
                <w:rFonts w:hint="eastAsia" w:ascii="宋体" w:hAnsi="宋体" w:eastAsia="宋体" w:cs="宋体"/>
                <w:b/>
                <w:color w:val="auto"/>
                <w:kern w:val="0"/>
                <w:sz w:val="24"/>
                <w:szCs w:val="24"/>
                <w:lang w:bidi="ar"/>
              </w:rPr>
            </w:pPr>
            <w:r>
              <w:rPr>
                <w:rFonts w:hint="eastAsia" w:ascii="宋体" w:hAnsi="宋体" w:eastAsia="宋体" w:cs="宋体"/>
                <w:b/>
                <w:bCs w:val="0"/>
                <w:color w:val="auto"/>
                <w:kern w:val="0"/>
                <w:sz w:val="24"/>
                <w:szCs w:val="24"/>
                <w:lang w:bidi="ar"/>
              </w:rPr>
              <w:t>多产多胎的每胎另加500元</w:t>
            </w:r>
          </w:p>
        </w:tc>
      </w:tr>
    </w:tbl>
    <w:p w14:paraId="4E1725FF">
      <w:pPr>
        <w:pStyle w:val="8"/>
        <w:keepNext w:val="0"/>
        <w:keepLines w:val="0"/>
        <w:pageBreakBefore w:val="0"/>
        <w:kinsoku/>
        <w:wordWrap/>
        <w:overflowPunct/>
        <w:topLinePunct w:val="0"/>
        <w:autoSpaceDE/>
        <w:autoSpaceDN/>
        <w:bidi w:val="0"/>
        <w:adjustRightInd/>
        <w:snapToGrid/>
        <w:spacing w:after="0" w:line="240" w:lineRule="auto"/>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注：此打包价不含产妇和新生儿有产儿科病理因素或并发症的情况。</w:t>
      </w:r>
    </w:p>
    <w:p w14:paraId="065B297E">
      <w:pPr>
        <w:pStyle w:val="4"/>
        <w:pageBreakBefore w:val="0"/>
        <w:kinsoku/>
        <w:wordWrap/>
        <w:overflowPunct/>
        <w:topLinePunct w:val="0"/>
        <w:bidi w:val="0"/>
        <w:snapToGrid/>
        <w:spacing w:line="560" w:lineRule="exact"/>
        <w:ind w:left="0" w:leftChars="0"/>
        <w:rPr>
          <w:rFonts w:hint="eastAsia" w:ascii="宋体" w:hAnsi="宋体" w:eastAsia="宋体" w:cs="宋体"/>
          <w:color w:val="auto"/>
          <w:sz w:val="24"/>
          <w:szCs w:val="24"/>
        </w:rPr>
        <w:sectPr>
          <w:pgSz w:w="11907" w:h="16840"/>
          <w:pgMar w:top="1440" w:right="1247" w:bottom="1440" w:left="1247" w:header="851" w:footer="992" w:gutter="0"/>
          <w:pgNumType w:fmt="decimal"/>
          <w:cols w:space="720" w:num="1"/>
          <w:docGrid w:linePitch="303" w:charSpace="0"/>
        </w:sectPr>
      </w:pPr>
    </w:p>
    <w:p w14:paraId="3A09FB7B">
      <w:pPr>
        <w:pStyle w:val="4"/>
        <w:keepNext w:val="0"/>
        <w:keepLines w:val="0"/>
        <w:pageBreakBefore w:val="0"/>
        <w:kinsoku/>
        <w:wordWrap/>
        <w:overflowPunct/>
        <w:topLinePunct w:val="0"/>
        <w:bidi w:val="0"/>
        <w:snapToGrid/>
        <w:spacing w:line="240" w:lineRule="auto"/>
        <w:ind w:left="0" w:leftChars="0"/>
        <w:rPr>
          <w:rFonts w:hint="eastAsia" w:ascii="宋体" w:hAnsi="宋体" w:eastAsia="宋体" w:cs="宋体"/>
          <w:color w:val="auto"/>
          <w:sz w:val="24"/>
          <w:szCs w:val="24"/>
        </w:rPr>
      </w:pPr>
    </w:p>
    <w:tbl>
      <w:tblPr>
        <w:tblStyle w:val="9"/>
        <w:tblW w:w="9793" w:type="dxa"/>
        <w:jc w:val="center"/>
        <w:tblLayout w:type="fixed"/>
        <w:tblCellMar>
          <w:top w:w="0" w:type="dxa"/>
          <w:left w:w="0" w:type="dxa"/>
          <w:bottom w:w="0" w:type="dxa"/>
          <w:right w:w="0" w:type="dxa"/>
        </w:tblCellMar>
      </w:tblPr>
      <w:tblGrid>
        <w:gridCol w:w="983"/>
        <w:gridCol w:w="6870"/>
        <w:gridCol w:w="940"/>
        <w:gridCol w:w="1000"/>
      </w:tblGrid>
      <w:tr w14:paraId="73AA6AE0">
        <w:tblPrEx>
          <w:tblCellMar>
            <w:top w:w="0" w:type="dxa"/>
            <w:left w:w="0" w:type="dxa"/>
            <w:bottom w:w="0" w:type="dxa"/>
            <w:right w:w="0" w:type="dxa"/>
          </w:tblCellMar>
        </w:tblPrEx>
        <w:trPr>
          <w:trHeight w:val="480" w:hRule="atLeast"/>
          <w:jc w:val="center"/>
        </w:trPr>
        <w:tc>
          <w:tcPr>
            <w:tcW w:w="9793" w:type="dxa"/>
            <w:gridSpan w:val="4"/>
            <w:tcBorders>
              <w:top w:val="nil"/>
              <w:left w:val="nil"/>
              <w:bottom w:val="nil"/>
              <w:right w:val="nil"/>
            </w:tcBorders>
            <w:noWrap/>
            <w:tcMar>
              <w:top w:w="10" w:type="dxa"/>
              <w:left w:w="10" w:type="dxa"/>
              <w:right w:w="10" w:type="dxa"/>
            </w:tcMar>
            <w:vAlign w:val="center"/>
          </w:tcPr>
          <w:p w14:paraId="295A86D5">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附件3  服务质量评价表（服务病区）</w:t>
            </w:r>
          </w:p>
        </w:tc>
      </w:tr>
      <w:tr w14:paraId="42EB4283">
        <w:tblPrEx>
          <w:tblCellMar>
            <w:top w:w="0" w:type="dxa"/>
            <w:left w:w="0" w:type="dxa"/>
            <w:bottom w:w="0" w:type="dxa"/>
            <w:right w:w="0" w:type="dxa"/>
          </w:tblCellMar>
        </w:tblPrEx>
        <w:trPr>
          <w:trHeight w:val="480" w:hRule="atLeast"/>
          <w:jc w:val="center"/>
        </w:trPr>
        <w:tc>
          <w:tcPr>
            <w:tcW w:w="983"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8CC6726">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评价项目</w:t>
            </w:r>
          </w:p>
        </w:tc>
        <w:tc>
          <w:tcPr>
            <w:tcW w:w="68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405EA9F">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评价内容</w:t>
            </w:r>
          </w:p>
        </w:tc>
        <w:tc>
          <w:tcPr>
            <w:tcW w:w="94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2D888ED">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标准分</w:t>
            </w:r>
          </w:p>
        </w:tc>
        <w:tc>
          <w:tcPr>
            <w:tcW w:w="10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9AF4CA9">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实际得分</w:t>
            </w:r>
          </w:p>
        </w:tc>
      </w:tr>
      <w:tr w14:paraId="6D64AF42">
        <w:tblPrEx>
          <w:tblCellMar>
            <w:top w:w="0" w:type="dxa"/>
            <w:left w:w="0" w:type="dxa"/>
            <w:bottom w:w="0" w:type="dxa"/>
            <w:right w:w="0" w:type="dxa"/>
          </w:tblCellMar>
        </w:tblPrEx>
        <w:trPr>
          <w:trHeight w:val="480" w:hRule="atLeast"/>
          <w:jc w:val="center"/>
        </w:trPr>
        <w:tc>
          <w:tcPr>
            <w:tcW w:w="983" w:type="dxa"/>
            <w:vMerge w:val="restart"/>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FB8A990">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仪容仪表</w:t>
            </w:r>
          </w:p>
        </w:tc>
        <w:tc>
          <w:tcPr>
            <w:tcW w:w="68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19895E7">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1.</w:t>
            </w:r>
            <w:r>
              <w:rPr>
                <w:rStyle w:val="12"/>
                <w:rFonts w:hint="eastAsia" w:ascii="宋体" w:hAnsi="宋体" w:eastAsia="宋体" w:cs="宋体"/>
                <w:color w:val="auto"/>
                <w:sz w:val="24"/>
                <w:szCs w:val="24"/>
                <w:lang w:bidi="ar"/>
              </w:rPr>
              <w:t>着装规范整洁、仪表端庄，统一穿工作服、佩戴胸牌；</w:t>
            </w:r>
          </w:p>
        </w:tc>
        <w:tc>
          <w:tcPr>
            <w:tcW w:w="94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46AC83E">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5</w:t>
            </w:r>
          </w:p>
        </w:tc>
        <w:tc>
          <w:tcPr>
            <w:tcW w:w="10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24E00A0">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673DACFF">
        <w:tblPrEx>
          <w:tblCellMar>
            <w:top w:w="0" w:type="dxa"/>
            <w:left w:w="0" w:type="dxa"/>
            <w:bottom w:w="0" w:type="dxa"/>
            <w:right w:w="0" w:type="dxa"/>
          </w:tblCellMar>
        </w:tblPrEx>
        <w:trPr>
          <w:trHeight w:val="480" w:hRule="atLeast"/>
          <w:jc w:val="center"/>
        </w:trPr>
        <w:tc>
          <w:tcPr>
            <w:tcW w:w="983" w:type="dxa"/>
            <w:vMerge w:val="continue"/>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5407594">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c>
          <w:tcPr>
            <w:tcW w:w="68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20F70D9">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2.</w:t>
            </w:r>
            <w:r>
              <w:rPr>
                <w:rStyle w:val="12"/>
                <w:rFonts w:hint="eastAsia" w:ascii="宋体" w:hAnsi="宋体" w:eastAsia="宋体" w:cs="宋体"/>
                <w:color w:val="auto"/>
                <w:sz w:val="24"/>
                <w:szCs w:val="24"/>
                <w:lang w:bidi="ar"/>
              </w:rPr>
              <w:t>不穿响底鞋、拖鞋或高跟鞋，首饰不外露、指甲修剪整齐；</w:t>
            </w:r>
          </w:p>
        </w:tc>
        <w:tc>
          <w:tcPr>
            <w:tcW w:w="94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35F5298">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5</w:t>
            </w:r>
          </w:p>
        </w:tc>
        <w:tc>
          <w:tcPr>
            <w:tcW w:w="10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4158080">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1B145636">
        <w:tblPrEx>
          <w:tblCellMar>
            <w:top w:w="0" w:type="dxa"/>
            <w:left w:w="0" w:type="dxa"/>
            <w:bottom w:w="0" w:type="dxa"/>
            <w:right w:w="0" w:type="dxa"/>
          </w:tblCellMar>
        </w:tblPrEx>
        <w:trPr>
          <w:trHeight w:val="480" w:hRule="atLeast"/>
          <w:jc w:val="center"/>
        </w:trPr>
        <w:tc>
          <w:tcPr>
            <w:tcW w:w="983" w:type="dxa"/>
            <w:vMerge w:val="restart"/>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EBDB496">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服务态度</w:t>
            </w:r>
          </w:p>
        </w:tc>
        <w:tc>
          <w:tcPr>
            <w:tcW w:w="68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B1E01F2">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1.</w:t>
            </w:r>
            <w:r>
              <w:rPr>
                <w:rStyle w:val="12"/>
                <w:rFonts w:hint="eastAsia" w:ascii="宋体" w:hAnsi="宋体" w:eastAsia="宋体" w:cs="宋体"/>
                <w:color w:val="auto"/>
                <w:sz w:val="24"/>
                <w:szCs w:val="24"/>
                <w:lang w:bidi="ar"/>
              </w:rPr>
              <w:t>微笑服务、礼貌待人，不与病人争执、争吵或打架；</w:t>
            </w:r>
          </w:p>
        </w:tc>
        <w:tc>
          <w:tcPr>
            <w:tcW w:w="94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404FB4E">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5</w:t>
            </w:r>
          </w:p>
        </w:tc>
        <w:tc>
          <w:tcPr>
            <w:tcW w:w="10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791E73A">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6794C98F">
        <w:tblPrEx>
          <w:tblCellMar>
            <w:top w:w="0" w:type="dxa"/>
            <w:left w:w="0" w:type="dxa"/>
            <w:bottom w:w="0" w:type="dxa"/>
            <w:right w:w="0" w:type="dxa"/>
          </w:tblCellMar>
        </w:tblPrEx>
        <w:trPr>
          <w:trHeight w:val="480" w:hRule="atLeast"/>
          <w:jc w:val="center"/>
        </w:trPr>
        <w:tc>
          <w:tcPr>
            <w:tcW w:w="983" w:type="dxa"/>
            <w:vMerge w:val="continue"/>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6E37DB0">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c>
          <w:tcPr>
            <w:tcW w:w="68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E9567C0">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2.</w:t>
            </w:r>
            <w:r>
              <w:rPr>
                <w:rStyle w:val="12"/>
                <w:rFonts w:hint="eastAsia" w:ascii="宋体" w:hAnsi="宋体" w:eastAsia="宋体" w:cs="宋体"/>
                <w:color w:val="auto"/>
                <w:sz w:val="24"/>
                <w:szCs w:val="24"/>
                <w:lang w:bidi="ar"/>
              </w:rPr>
              <w:t>工作积极主动、热情，虚心接受意见，能积极配合医护工作；</w:t>
            </w:r>
          </w:p>
        </w:tc>
        <w:tc>
          <w:tcPr>
            <w:tcW w:w="94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C299048">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5</w:t>
            </w:r>
          </w:p>
        </w:tc>
        <w:tc>
          <w:tcPr>
            <w:tcW w:w="10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8E4E4C1">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76A85DB1">
        <w:tblPrEx>
          <w:tblCellMar>
            <w:top w:w="0" w:type="dxa"/>
            <w:left w:w="0" w:type="dxa"/>
            <w:bottom w:w="0" w:type="dxa"/>
            <w:right w:w="0" w:type="dxa"/>
          </w:tblCellMar>
        </w:tblPrEx>
        <w:trPr>
          <w:trHeight w:val="480" w:hRule="atLeast"/>
          <w:jc w:val="center"/>
        </w:trPr>
        <w:tc>
          <w:tcPr>
            <w:tcW w:w="983" w:type="dxa"/>
            <w:vMerge w:val="restart"/>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477A3011">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生活护理质量标准</w:t>
            </w:r>
          </w:p>
        </w:tc>
        <w:tc>
          <w:tcPr>
            <w:tcW w:w="68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893926F">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1.</w:t>
            </w:r>
            <w:r>
              <w:rPr>
                <w:rStyle w:val="12"/>
                <w:rFonts w:hint="eastAsia" w:ascii="宋体" w:hAnsi="宋体" w:eastAsia="宋体" w:cs="宋体"/>
                <w:color w:val="auto"/>
                <w:sz w:val="24"/>
                <w:szCs w:val="24"/>
                <w:lang w:bidi="ar"/>
              </w:rPr>
              <w:t>严格遵守医院、科室有关规章制度；</w:t>
            </w:r>
          </w:p>
        </w:tc>
        <w:tc>
          <w:tcPr>
            <w:tcW w:w="94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A585D49">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5</w:t>
            </w:r>
          </w:p>
        </w:tc>
        <w:tc>
          <w:tcPr>
            <w:tcW w:w="10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ADFABC0">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636BA647">
        <w:tblPrEx>
          <w:tblCellMar>
            <w:top w:w="0" w:type="dxa"/>
            <w:left w:w="0" w:type="dxa"/>
            <w:bottom w:w="0" w:type="dxa"/>
            <w:right w:w="0" w:type="dxa"/>
          </w:tblCellMar>
        </w:tblPrEx>
        <w:trPr>
          <w:trHeight w:val="480" w:hRule="atLeast"/>
          <w:jc w:val="center"/>
        </w:trPr>
        <w:tc>
          <w:tcPr>
            <w:tcW w:w="983" w:type="dxa"/>
            <w:vMerge w:val="continue"/>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6EB680C3">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c>
          <w:tcPr>
            <w:tcW w:w="68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3623914">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2.</w:t>
            </w:r>
            <w:r>
              <w:rPr>
                <w:rStyle w:val="12"/>
                <w:rFonts w:hint="eastAsia" w:ascii="宋体" w:hAnsi="宋体" w:eastAsia="宋体" w:cs="宋体"/>
                <w:color w:val="auto"/>
                <w:sz w:val="24"/>
                <w:szCs w:val="24"/>
                <w:lang w:bidi="ar"/>
              </w:rPr>
              <w:t>按时上下班，提前十分钟到岗做好交接工作，无串岗、缺岗或睡岗现象；</w:t>
            </w:r>
          </w:p>
        </w:tc>
        <w:tc>
          <w:tcPr>
            <w:tcW w:w="94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4E36B31">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5</w:t>
            </w:r>
          </w:p>
        </w:tc>
        <w:tc>
          <w:tcPr>
            <w:tcW w:w="10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F0FF6EA">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1C8F4ECF">
        <w:tblPrEx>
          <w:tblCellMar>
            <w:top w:w="0" w:type="dxa"/>
            <w:left w:w="0" w:type="dxa"/>
            <w:bottom w:w="0" w:type="dxa"/>
            <w:right w:w="0" w:type="dxa"/>
          </w:tblCellMar>
        </w:tblPrEx>
        <w:trPr>
          <w:trHeight w:val="480" w:hRule="atLeast"/>
          <w:jc w:val="center"/>
        </w:trPr>
        <w:tc>
          <w:tcPr>
            <w:tcW w:w="983" w:type="dxa"/>
            <w:vMerge w:val="continue"/>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7FA065BC">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c>
          <w:tcPr>
            <w:tcW w:w="68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5EF0A99">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3.</w:t>
            </w:r>
            <w:r>
              <w:rPr>
                <w:rStyle w:val="12"/>
                <w:rFonts w:hint="eastAsia" w:ascii="宋体" w:hAnsi="宋体" w:eastAsia="宋体" w:cs="宋体"/>
                <w:color w:val="auto"/>
                <w:sz w:val="24"/>
                <w:szCs w:val="24"/>
                <w:lang w:bidi="ar"/>
              </w:rPr>
              <w:t>严格执行保护性医疗制度，不探听、不传递、不泄露病人的隐私；</w:t>
            </w:r>
          </w:p>
        </w:tc>
        <w:tc>
          <w:tcPr>
            <w:tcW w:w="94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F050F0F">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5</w:t>
            </w:r>
          </w:p>
        </w:tc>
        <w:tc>
          <w:tcPr>
            <w:tcW w:w="10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ECA120F">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3A804D61">
        <w:tblPrEx>
          <w:tblCellMar>
            <w:top w:w="0" w:type="dxa"/>
            <w:left w:w="0" w:type="dxa"/>
            <w:bottom w:w="0" w:type="dxa"/>
            <w:right w:w="0" w:type="dxa"/>
          </w:tblCellMar>
        </w:tblPrEx>
        <w:trPr>
          <w:trHeight w:val="480" w:hRule="atLeast"/>
          <w:jc w:val="center"/>
        </w:trPr>
        <w:tc>
          <w:tcPr>
            <w:tcW w:w="983" w:type="dxa"/>
            <w:vMerge w:val="continue"/>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24BADB16">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c>
          <w:tcPr>
            <w:tcW w:w="68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CAF3504">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4.</w:t>
            </w:r>
            <w:r>
              <w:rPr>
                <w:rStyle w:val="12"/>
                <w:rFonts w:hint="eastAsia" w:ascii="宋体" w:hAnsi="宋体" w:eastAsia="宋体" w:cs="宋体"/>
                <w:color w:val="auto"/>
                <w:sz w:val="24"/>
                <w:szCs w:val="24"/>
                <w:lang w:bidi="ar"/>
              </w:rPr>
              <w:t>当班时间不玩手机、不看电视、不聚众闲聊或嬉闹；</w:t>
            </w:r>
          </w:p>
        </w:tc>
        <w:tc>
          <w:tcPr>
            <w:tcW w:w="94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541F6E4">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5</w:t>
            </w:r>
          </w:p>
        </w:tc>
        <w:tc>
          <w:tcPr>
            <w:tcW w:w="10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06AEE21">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1F05BC73">
        <w:tblPrEx>
          <w:tblCellMar>
            <w:top w:w="0" w:type="dxa"/>
            <w:left w:w="0" w:type="dxa"/>
            <w:bottom w:w="0" w:type="dxa"/>
            <w:right w:w="0" w:type="dxa"/>
          </w:tblCellMar>
        </w:tblPrEx>
        <w:trPr>
          <w:trHeight w:val="480" w:hRule="atLeast"/>
          <w:jc w:val="center"/>
        </w:trPr>
        <w:tc>
          <w:tcPr>
            <w:tcW w:w="983" w:type="dxa"/>
            <w:vMerge w:val="continue"/>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3A94F67D">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c>
          <w:tcPr>
            <w:tcW w:w="68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BC2522A">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5.</w:t>
            </w:r>
            <w:r>
              <w:rPr>
                <w:rStyle w:val="12"/>
                <w:rFonts w:hint="eastAsia" w:ascii="宋体" w:hAnsi="宋体" w:eastAsia="宋体" w:cs="宋体"/>
                <w:color w:val="auto"/>
                <w:sz w:val="24"/>
                <w:szCs w:val="24"/>
                <w:lang w:bidi="ar"/>
              </w:rPr>
              <w:t>协助护士做好晨晚间生活护理，保持床单位整洁；</w:t>
            </w:r>
          </w:p>
        </w:tc>
        <w:tc>
          <w:tcPr>
            <w:tcW w:w="94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E12AB30">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5</w:t>
            </w:r>
          </w:p>
        </w:tc>
        <w:tc>
          <w:tcPr>
            <w:tcW w:w="10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D3BE6E2">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5C9028AF">
        <w:tblPrEx>
          <w:tblCellMar>
            <w:top w:w="0" w:type="dxa"/>
            <w:left w:w="0" w:type="dxa"/>
            <w:bottom w:w="0" w:type="dxa"/>
            <w:right w:w="0" w:type="dxa"/>
          </w:tblCellMar>
        </w:tblPrEx>
        <w:trPr>
          <w:trHeight w:val="480" w:hRule="atLeast"/>
          <w:jc w:val="center"/>
        </w:trPr>
        <w:tc>
          <w:tcPr>
            <w:tcW w:w="983" w:type="dxa"/>
            <w:vMerge w:val="continue"/>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34DC0FF3">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c>
          <w:tcPr>
            <w:tcW w:w="68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DA38EEA">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6.</w:t>
            </w:r>
            <w:r>
              <w:rPr>
                <w:rStyle w:val="12"/>
                <w:rFonts w:hint="eastAsia" w:ascii="宋体" w:hAnsi="宋体" w:eastAsia="宋体" w:cs="宋体"/>
                <w:color w:val="auto"/>
                <w:sz w:val="24"/>
                <w:szCs w:val="24"/>
                <w:lang w:bidi="ar"/>
              </w:rPr>
              <w:t>必要时，协助护送病人做辅助检查和治疗；</w:t>
            </w:r>
          </w:p>
        </w:tc>
        <w:tc>
          <w:tcPr>
            <w:tcW w:w="94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C00FEA4">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5</w:t>
            </w:r>
          </w:p>
        </w:tc>
        <w:tc>
          <w:tcPr>
            <w:tcW w:w="10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CEBE81D">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01291874">
        <w:tblPrEx>
          <w:tblCellMar>
            <w:top w:w="0" w:type="dxa"/>
            <w:left w:w="0" w:type="dxa"/>
            <w:bottom w:w="0" w:type="dxa"/>
            <w:right w:w="0" w:type="dxa"/>
          </w:tblCellMar>
        </w:tblPrEx>
        <w:trPr>
          <w:trHeight w:val="480" w:hRule="atLeast"/>
          <w:jc w:val="center"/>
        </w:trPr>
        <w:tc>
          <w:tcPr>
            <w:tcW w:w="983" w:type="dxa"/>
            <w:vMerge w:val="continue"/>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340DC87B">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c>
          <w:tcPr>
            <w:tcW w:w="68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5BC2675">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7.</w:t>
            </w:r>
            <w:r>
              <w:rPr>
                <w:rStyle w:val="12"/>
                <w:rFonts w:hint="eastAsia" w:ascii="宋体" w:hAnsi="宋体" w:eastAsia="宋体" w:cs="宋体"/>
                <w:color w:val="auto"/>
                <w:sz w:val="24"/>
                <w:szCs w:val="24"/>
                <w:lang w:bidi="ar"/>
              </w:rPr>
              <w:t>保护病人的安全，防止跌倒、坠床、压疮或意外拔管等不良事件发生；</w:t>
            </w:r>
          </w:p>
        </w:tc>
        <w:tc>
          <w:tcPr>
            <w:tcW w:w="94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BC02C92">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5</w:t>
            </w:r>
          </w:p>
        </w:tc>
        <w:tc>
          <w:tcPr>
            <w:tcW w:w="10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403EE39">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5A820D1B">
        <w:tblPrEx>
          <w:tblCellMar>
            <w:top w:w="0" w:type="dxa"/>
            <w:left w:w="0" w:type="dxa"/>
            <w:bottom w:w="0" w:type="dxa"/>
            <w:right w:w="0" w:type="dxa"/>
          </w:tblCellMar>
        </w:tblPrEx>
        <w:trPr>
          <w:trHeight w:val="480" w:hRule="atLeast"/>
          <w:jc w:val="center"/>
        </w:trPr>
        <w:tc>
          <w:tcPr>
            <w:tcW w:w="983" w:type="dxa"/>
            <w:vMerge w:val="continue"/>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342A65DA">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c>
          <w:tcPr>
            <w:tcW w:w="68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6E68305">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8.</w:t>
            </w:r>
            <w:r>
              <w:rPr>
                <w:rStyle w:val="12"/>
                <w:rFonts w:hint="eastAsia" w:ascii="宋体" w:hAnsi="宋体" w:eastAsia="宋体" w:cs="宋体"/>
                <w:color w:val="auto"/>
                <w:sz w:val="24"/>
                <w:szCs w:val="24"/>
                <w:lang w:bidi="ar"/>
              </w:rPr>
              <w:t>遵医嘱，给病人适时洗头、擦洗澡；</w:t>
            </w:r>
          </w:p>
        </w:tc>
        <w:tc>
          <w:tcPr>
            <w:tcW w:w="94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B93698A">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5</w:t>
            </w:r>
          </w:p>
        </w:tc>
        <w:tc>
          <w:tcPr>
            <w:tcW w:w="10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3CEA4CB">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7EF82AE4">
        <w:tblPrEx>
          <w:tblCellMar>
            <w:top w:w="0" w:type="dxa"/>
            <w:left w:w="0" w:type="dxa"/>
            <w:bottom w:w="0" w:type="dxa"/>
            <w:right w:w="0" w:type="dxa"/>
          </w:tblCellMar>
        </w:tblPrEx>
        <w:trPr>
          <w:trHeight w:val="480" w:hRule="atLeast"/>
          <w:jc w:val="center"/>
        </w:trPr>
        <w:tc>
          <w:tcPr>
            <w:tcW w:w="983" w:type="dxa"/>
            <w:vMerge w:val="continue"/>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1785D5CC">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c>
          <w:tcPr>
            <w:tcW w:w="68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96D613F">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9.</w:t>
            </w:r>
            <w:r>
              <w:rPr>
                <w:rStyle w:val="12"/>
                <w:rFonts w:hint="eastAsia" w:ascii="宋体" w:hAnsi="宋体" w:eastAsia="宋体" w:cs="宋体"/>
                <w:color w:val="auto"/>
                <w:sz w:val="24"/>
                <w:szCs w:val="24"/>
                <w:lang w:bidi="ar"/>
              </w:rPr>
              <w:t>加强自身手卫生，勤洗手，避免院内交叉感染；</w:t>
            </w:r>
          </w:p>
        </w:tc>
        <w:tc>
          <w:tcPr>
            <w:tcW w:w="94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206FCF9">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5</w:t>
            </w:r>
          </w:p>
        </w:tc>
        <w:tc>
          <w:tcPr>
            <w:tcW w:w="10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4758487">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0F91C628">
        <w:tblPrEx>
          <w:tblCellMar>
            <w:top w:w="0" w:type="dxa"/>
            <w:left w:w="0" w:type="dxa"/>
            <w:bottom w:w="0" w:type="dxa"/>
            <w:right w:w="0" w:type="dxa"/>
          </w:tblCellMar>
        </w:tblPrEx>
        <w:trPr>
          <w:trHeight w:val="480" w:hRule="atLeast"/>
          <w:jc w:val="center"/>
        </w:trPr>
        <w:tc>
          <w:tcPr>
            <w:tcW w:w="983" w:type="dxa"/>
            <w:vMerge w:val="continue"/>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224D6315">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c>
          <w:tcPr>
            <w:tcW w:w="68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54542C6">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10.</w:t>
            </w:r>
            <w:r>
              <w:rPr>
                <w:rStyle w:val="12"/>
                <w:rFonts w:hint="eastAsia" w:ascii="宋体" w:hAnsi="宋体" w:eastAsia="宋体" w:cs="宋体"/>
                <w:color w:val="auto"/>
                <w:sz w:val="24"/>
                <w:szCs w:val="24"/>
                <w:lang w:bidi="ar"/>
              </w:rPr>
              <w:t>细心照看病人，及时报告病人的异常情况；</w:t>
            </w:r>
          </w:p>
        </w:tc>
        <w:tc>
          <w:tcPr>
            <w:tcW w:w="94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F1111E4">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5</w:t>
            </w:r>
          </w:p>
        </w:tc>
        <w:tc>
          <w:tcPr>
            <w:tcW w:w="10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D22A96D">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448DFEB4">
        <w:tblPrEx>
          <w:tblCellMar>
            <w:top w:w="0" w:type="dxa"/>
            <w:left w:w="0" w:type="dxa"/>
            <w:bottom w:w="0" w:type="dxa"/>
            <w:right w:w="0" w:type="dxa"/>
          </w:tblCellMar>
        </w:tblPrEx>
        <w:trPr>
          <w:trHeight w:val="480" w:hRule="atLeast"/>
          <w:jc w:val="center"/>
        </w:trPr>
        <w:tc>
          <w:tcPr>
            <w:tcW w:w="983" w:type="dxa"/>
            <w:vMerge w:val="continue"/>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5DD4A0AA">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c>
          <w:tcPr>
            <w:tcW w:w="68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3C1DADA">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11.</w:t>
            </w:r>
            <w:r>
              <w:rPr>
                <w:rStyle w:val="12"/>
                <w:rFonts w:hint="eastAsia" w:ascii="宋体" w:hAnsi="宋体" w:eastAsia="宋体" w:cs="宋体"/>
                <w:color w:val="auto"/>
                <w:sz w:val="24"/>
                <w:szCs w:val="24"/>
                <w:lang w:bidi="ar"/>
              </w:rPr>
              <w:t>在护士的指导下，主动学习、参加培训和掌握专科疾病照顾与护理技能。</w:t>
            </w:r>
          </w:p>
        </w:tc>
        <w:tc>
          <w:tcPr>
            <w:tcW w:w="94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BB69705">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5</w:t>
            </w:r>
          </w:p>
        </w:tc>
        <w:tc>
          <w:tcPr>
            <w:tcW w:w="10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E6D37F5">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2B3447AF">
        <w:tblPrEx>
          <w:tblCellMar>
            <w:top w:w="0" w:type="dxa"/>
            <w:left w:w="0" w:type="dxa"/>
            <w:bottom w:w="0" w:type="dxa"/>
            <w:right w:w="0" w:type="dxa"/>
          </w:tblCellMar>
        </w:tblPrEx>
        <w:trPr>
          <w:trHeight w:val="480" w:hRule="atLeast"/>
          <w:jc w:val="center"/>
        </w:trPr>
        <w:tc>
          <w:tcPr>
            <w:tcW w:w="983" w:type="dxa"/>
            <w:vMerge w:val="restart"/>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FD7C91A">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监督管理</w:t>
            </w:r>
          </w:p>
        </w:tc>
        <w:tc>
          <w:tcPr>
            <w:tcW w:w="68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4E6AF35">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1.</w:t>
            </w:r>
            <w:r>
              <w:rPr>
                <w:rStyle w:val="12"/>
                <w:rFonts w:hint="eastAsia" w:ascii="宋体" w:hAnsi="宋体" w:eastAsia="宋体" w:cs="宋体"/>
                <w:color w:val="auto"/>
                <w:sz w:val="24"/>
                <w:szCs w:val="24"/>
                <w:lang w:bidi="ar"/>
              </w:rPr>
              <w:t>管理人员配置到位，加强服务宣传，有效避免散户工；</w:t>
            </w:r>
          </w:p>
        </w:tc>
        <w:tc>
          <w:tcPr>
            <w:tcW w:w="94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F88BCE8">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5</w:t>
            </w:r>
          </w:p>
        </w:tc>
        <w:tc>
          <w:tcPr>
            <w:tcW w:w="10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DA9879A">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2B4347B3">
        <w:tblPrEx>
          <w:tblCellMar>
            <w:top w:w="0" w:type="dxa"/>
            <w:left w:w="0" w:type="dxa"/>
            <w:bottom w:w="0" w:type="dxa"/>
            <w:right w:w="0" w:type="dxa"/>
          </w:tblCellMar>
        </w:tblPrEx>
        <w:trPr>
          <w:trHeight w:val="480" w:hRule="atLeast"/>
          <w:jc w:val="center"/>
        </w:trPr>
        <w:tc>
          <w:tcPr>
            <w:tcW w:w="983" w:type="dxa"/>
            <w:vMerge w:val="continue"/>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005E030">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c>
          <w:tcPr>
            <w:tcW w:w="68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53DDC52">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2.</w:t>
            </w:r>
            <w:r>
              <w:rPr>
                <w:rStyle w:val="12"/>
                <w:rFonts w:hint="eastAsia" w:ascii="宋体" w:hAnsi="宋体" w:eastAsia="宋体" w:cs="宋体"/>
                <w:color w:val="auto"/>
                <w:sz w:val="24"/>
                <w:szCs w:val="24"/>
                <w:lang w:bidi="ar"/>
              </w:rPr>
              <w:t>能定期巡查病房，征求病人的意见和建议，积极与护士、护士长沟通；</w:t>
            </w:r>
          </w:p>
        </w:tc>
        <w:tc>
          <w:tcPr>
            <w:tcW w:w="94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FA8FA30">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5</w:t>
            </w:r>
          </w:p>
        </w:tc>
        <w:tc>
          <w:tcPr>
            <w:tcW w:w="10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2A594BB">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730C41D1">
        <w:tblPrEx>
          <w:tblCellMar>
            <w:top w:w="0" w:type="dxa"/>
            <w:left w:w="0" w:type="dxa"/>
            <w:bottom w:w="0" w:type="dxa"/>
            <w:right w:w="0" w:type="dxa"/>
          </w:tblCellMar>
        </w:tblPrEx>
        <w:trPr>
          <w:trHeight w:val="480" w:hRule="atLeast"/>
          <w:jc w:val="center"/>
        </w:trPr>
        <w:tc>
          <w:tcPr>
            <w:tcW w:w="983" w:type="dxa"/>
            <w:vMerge w:val="continue"/>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5473E05">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c>
          <w:tcPr>
            <w:tcW w:w="68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9DCD737">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3.</w:t>
            </w:r>
            <w:r>
              <w:rPr>
                <w:rStyle w:val="12"/>
                <w:rFonts w:hint="eastAsia" w:ascii="宋体" w:hAnsi="宋体" w:eastAsia="宋体" w:cs="宋体"/>
                <w:color w:val="auto"/>
                <w:sz w:val="24"/>
                <w:szCs w:val="24"/>
                <w:lang w:bidi="ar"/>
              </w:rPr>
              <w:t>针对病人的投诉能及时协调、处理各类矛盾，工作到位、有效；</w:t>
            </w:r>
          </w:p>
        </w:tc>
        <w:tc>
          <w:tcPr>
            <w:tcW w:w="94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0504FA5">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5</w:t>
            </w:r>
          </w:p>
        </w:tc>
        <w:tc>
          <w:tcPr>
            <w:tcW w:w="10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5FD3222">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6F1B37BE">
        <w:tblPrEx>
          <w:tblCellMar>
            <w:top w:w="0" w:type="dxa"/>
            <w:left w:w="0" w:type="dxa"/>
            <w:bottom w:w="0" w:type="dxa"/>
            <w:right w:w="0" w:type="dxa"/>
          </w:tblCellMar>
        </w:tblPrEx>
        <w:trPr>
          <w:trHeight w:val="480" w:hRule="atLeast"/>
          <w:jc w:val="center"/>
        </w:trPr>
        <w:tc>
          <w:tcPr>
            <w:tcW w:w="983" w:type="dxa"/>
            <w:vMerge w:val="continue"/>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8465B21">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c>
          <w:tcPr>
            <w:tcW w:w="68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7FB1431">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4.</w:t>
            </w:r>
            <w:r>
              <w:rPr>
                <w:rStyle w:val="12"/>
                <w:rFonts w:hint="eastAsia" w:ascii="宋体" w:hAnsi="宋体" w:eastAsia="宋体" w:cs="宋体"/>
                <w:color w:val="auto"/>
                <w:sz w:val="24"/>
                <w:szCs w:val="24"/>
                <w:lang w:bidi="ar"/>
              </w:rPr>
              <w:t>收费价格公开、透明，按公示价格由专人统一收取；</w:t>
            </w:r>
          </w:p>
        </w:tc>
        <w:tc>
          <w:tcPr>
            <w:tcW w:w="94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4639B2F">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5</w:t>
            </w:r>
          </w:p>
        </w:tc>
        <w:tc>
          <w:tcPr>
            <w:tcW w:w="10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08676DC">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41C00C23">
        <w:tblPrEx>
          <w:tblCellMar>
            <w:top w:w="0" w:type="dxa"/>
            <w:left w:w="0" w:type="dxa"/>
            <w:bottom w:w="0" w:type="dxa"/>
            <w:right w:w="0" w:type="dxa"/>
          </w:tblCellMar>
        </w:tblPrEx>
        <w:trPr>
          <w:trHeight w:val="480" w:hRule="atLeast"/>
          <w:jc w:val="center"/>
        </w:trPr>
        <w:tc>
          <w:tcPr>
            <w:tcW w:w="983" w:type="dxa"/>
            <w:vMerge w:val="continue"/>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620296F">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c>
          <w:tcPr>
            <w:tcW w:w="68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AD45428">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5.</w:t>
            </w:r>
            <w:r>
              <w:rPr>
                <w:rStyle w:val="12"/>
                <w:rFonts w:hint="eastAsia" w:ascii="宋体" w:hAnsi="宋体" w:eastAsia="宋体" w:cs="宋体"/>
                <w:color w:val="auto"/>
                <w:sz w:val="24"/>
                <w:szCs w:val="24"/>
                <w:lang w:bidi="ar"/>
              </w:rPr>
              <w:t>护理员配置合理，人员配置与工作量匹配，能满足病房工作需求；</w:t>
            </w:r>
          </w:p>
        </w:tc>
        <w:tc>
          <w:tcPr>
            <w:tcW w:w="94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CFE1452">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5</w:t>
            </w:r>
          </w:p>
        </w:tc>
        <w:tc>
          <w:tcPr>
            <w:tcW w:w="10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49F06BD">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1850D09E">
        <w:tblPrEx>
          <w:tblCellMar>
            <w:top w:w="0" w:type="dxa"/>
            <w:left w:w="0" w:type="dxa"/>
            <w:bottom w:w="0" w:type="dxa"/>
            <w:right w:w="0" w:type="dxa"/>
          </w:tblCellMar>
        </w:tblPrEx>
        <w:trPr>
          <w:trHeight w:val="480" w:hRule="atLeast"/>
          <w:jc w:val="center"/>
        </w:trPr>
        <w:tc>
          <w:tcPr>
            <w:tcW w:w="983"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7D86B70">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直接扣分</w:t>
            </w:r>
          </w:p>
        </w:tc>
        <w:tc>
          <w:tcPr>
            <w:tcW w:w="68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9F641A1">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1、发生护理不良事件；2、发生有责任的服务投诉；3、违反等级服务收费标准。</w:t>
            </w:r>
          </w:p>
        </w:tc>
        <w:tc>
          <w:tcPr>
            <w:tcW w:w="94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A114994">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20分/项</w:t>
            </w:r>
          </w:p>
        </w:tc>
        <w:tc>
          <w:tcPr>
            <w:tcW w:w="10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A82C4AD">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21A96977">
        <w:tblPrEx>
          <w:tblCellMar>
            <w:top w:w="0" w:type="dxa"/>
            <w:left w:w="0" w:type="dxa"/>
            <w:bottom w:w="0" w:type="dxa"/>
            <w:right w:w="0" w:type="dxa"/>
          </w:tblCellMar>
        </w:tblPrEx>
        <w:trPr>
          <w:trHeight w:val="480" w:hRule="atLeast"/>
          <w:jc w:val="center"/>
        </w:trPr>
        <w:tc>
          <w:tcPr>
            <w:tcW w:w="983"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22BB4C0">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总分</w:t>
            </w:r>
          </w:p>
        </w:tc>
        <w:tc>
          <w:tcPr>
            <w:tcW w:w="687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683DEB8">
            <w:pPr>
              <w:keepNext w:val="0"/>
              <w:keepLines w:val="0"/>
              <w:pageBreakBefore w:val="0"/>
              <w:kinsoku/>
              <w:wordWrap/>
              <w:overflowPunct/>
              <w:topLinePunct w:val="0"/>
              <w:bidi w:val="0"/>
              <w:snapToGrid/>
              <w:spacing w:line="240" w:lineRule="auto"/>
              <w:ind w:left="0" w:leftChars="0"/>
              <w:jc w:val="left"/>
              <w:rPr>
                <w:rFonts w:hint="eastAsia" w:ascii="宋体" w:hAnsi="宋体" w:eastAsia="宋体" w:cs="宋体"/>
                <w:color w:val="auto"/>
                <w:sz w:val="24"/>
                <w:szCs w:val="24"/>
              </w:rPr>
            </w:pPr>
          </w:p>
        </w:tc>
        <w:tc>
          <w:tcPr>
            <w:tcW w:w="94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568AED9">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100</w:t>
            </w:r>
          </w:p>
        </w:tc>
        <w:tc>
          <w:tcPr>
            <w:tcW w:w="10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05729AF">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bl>
    <w:p w14:paraId="1B3207BF">
      <w:pPr>
        <w:pStyle w:val="8"/>
        <w:keepNext w:val="0"/>
        <w:keepLines w:val="0"/>
        <w:pageBreakBefore w:val="0"/>
        <w:kinsoku/>
        <w:wordWrap/>
        <w:overflowPunct/>
        <w:topLinePunct w:val="0"/>
        <w:bidi w:val="0"/>
        <w:snapToGrid/>
        <w:spacing w:after="0" w:line="240" w:lineRule="auto"/>
        <w:ind w:left="0" w:leftChars="0" w:firstLine="0" w:firstLineChars="0"/>
        <w:rPr>
          <w:rFonts w:hint="eastAsia" w:ascii="宋体" w:hAnsi="宋体" w:eastAsia="宋体" w:cs="宋体"/>
          <w:color w:val="auto"/>
          <w:sz w:val="24"/>
          <w:szCs w:val="24"/>
        </w:rPr>
      </w:pPr>
    </w:p>
    <w:p w14:paraId="7A215AD2">
      <w:pPr>
        <w:pStyle w:val="4"/>
        <w:keepNext w:val="0"/>
        <w:keepLines w:val="0"/>
        <w:pageBreakBefore w:val="0"/>
        <w:kinsoku/>
        <w:wordWrap/>
        <w:overflowPunct/>
        <w:topLinePunct w:val="0"/>
        <w:bidi w:val="0"/>
        <w:snapToGrid/>
        <w:spacing w:line="240" w:lineRule="auto"/>
        <w:ind w:left="0" w:leftChars="0"/>
        <w:rPr>
          <w:rFonts w:hint="eastAsia" w:ascii="宋体" w:hAnsi="宋体" w:eastAsia="宋体" w:cs="宋体"/>
          <w:color w:val="auto"/>
          <w:sz w:val="24"/>
          <w:szCs w:val="24"/>
        </w:rPr>
      </w:pPr>
    </w:p>
    <w:p w14:paraId="546DDA29">
      <w:pPr>
        <w:pStyle w:val="4"/>
        <w:keepNext w:val="0"/>
        <w:keepLines w:val="0"/>
        <w:pageBreakBefore w:val="0"/>
        <w:kinsoku/>
        <w:wordWrap/>
        <w:overflowPunct/>
        <w:topLinePunct w:val="0"/>
        <w:bidi w:val="0"/>
        <w:snapToGrid/>
        <w:spacing w:line="240" w:lineRule="auto"/>
        <w:ind w:left="0" w:leftChars="0"/>
        <w:rPr>
          <w:rFonts w:hint="eastAsia" w:ascii="宋体" w:hAnsi="宋体" w:eastAsia="宋体" w:cs="宋体"/>
          <w:color w:val="auto"/>
          <w:sz w:val="24"/>
          <w:szCs w:val="24"/>
        </w:rPr>
      </w:pPr>
    </w:p>
    <w:p w14:paraId="584F638F">
      <w:pPr>
        <w:pStyle w:val="4"/>
        <w:keepNext w:val="0"/>
        <w:keepLines w:val="0"/>
        <w:pageBreakBefore w:val="0"/>
        <w:kinsoku/>
        <w:wordWrap/>
        <w:overflowPunct/>
        <w:topLinePunct w:val="0"/>
        <w:bidi w:val="0"/>
        <w:snapToGrid/>
        <w:spacing w:line="240" w:lineRule="auto"/>
        <w:ind w:left="0" w:leftChars="0"/>
        <w:rPr>
          <w:rFonts w:hint="eastAsia" w:ascii="宋体" w:hAnsi="宋体" w:eastAsia="宋体" w:cs="宋体"/>
          <w:color w:val="auto"/>
          <w:sz w:val="24"/>
          <w:szCs w:val="24"/>
        </w:rPr>
      </w:pPr>
    </w:p>
    <w:tbl>
      <w:tblPr>
        <w:tblStyle w:val="9"/>
        <w:tblW w:w="9940" w:type="dxa"/>
        <w:jc w:val="center"/>
        <w:tblLayout w:type="fixed"/>
        <w:tblCellMar>
          <w:top w:w="0" w:type="dxa"/>
          <w:left w:w="0" w:type="dxa"/>
          <w:bottom w:w="0" w:type="dxa"/>
          <w:right w:w="0" w:type="dxa"/>
        </w:tblCellMar>
      </w:tblPr>
      <w:tblGrid>
        <w:gridCol w:w="504"/>
        <w:gridCol w:w="4598"/>
        <w:gridCol w:w="1022"/>
        <w:gridCol w:w="1022"/>
        <w:gridCol w:w="1022"/>
        <w:gridCol w:w="1023"/>
        <w:gridCol w:w="749"/>
      </w:tblGrid>
      <w:tr w14:paraId="42171FF8">
        <w:tblPrEx>
          <w:tblCellMar>
            <w:top w:w="0" w:type="dxa"/>
            <w:left w:w="0" w:type="dxa"/>
            <w:bottom w:w="0" w:type="dxa"/>
            <w:right w:w="0" w:type="dxa"/>
          </w:tblCellMar>
        </w:tblPrEx>
        <w:trPr>
          <w:trHeight w:val="606" w:hRule="atLeast"/>
          <w:jc w:val="center"/>
        </w:trPr>
        <w:tc>
          <w:tcPr>
            <w:tcW w:w="9940" w:type="dxa"/>
            <w:gridSpan w:val="7"/>
            <w:tcBorders>
              <w:top w:val="nil"/>
              <w:left w:val="nil"/>
              <w:bottom w:val="nil"/>
              <w:right w:val="nil"/>
            </w:tcBorders>
            <w:noWrap/>
            <w:tcMar>
              <w:top w:w="10" w:type="dxa"/>
              <w:left w:w="10" w:type="dxa"/>
              <w:right w:w="10" w:type="dxa"/>
            </w:tcMar>
            <w:vAlign w:val="center"/>
          </w:tcPr>
          <w:p w14:paraId="79622AD4">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附件4  服务质量满意度调查表（服务对象）</w:t>
            </w:r>
          </w:p>
        </w:tc>
      </w:tr>
      <w:tr w14:paraId="70421E84">
        <w:tblPrEx>
          <w:tblCellMar>
            <w:top w:w="0" w:type="dxa"/>
            <w:left w:w="0" w:type="dxa"/>
            <w:bottom w:w="0" w:type="dxa"/>
            <w:right w:w="0" w:type="dxa"/>
          </w:tblCellMar>
        </w:tblPrEx>
        <w:trPr>
          <w:trHeight w:val="764" w:hRule="atLeast"/>
          <w:jc w:val="center"/>
        </w:trPr>
        <w:tc>
          <w:tcPr>
            <w:tcW w:w="504"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E2917BE">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序号</w:t>
            </w:r>
          </w:p>
        </w:tc>
        <w:tc>
          <w:tcPr>
            <w:tcW w:w="4598"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6D09519">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调查内容</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7590867">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10</w:t>
            </w:r>
            <w:r>
              <w:rPr>
                <w:rStyle w:val="13"/>
                <w:rFonts w:hint="eastAsia" w:ascii="宋体" w:hAnsi="宋体" w:eastAsia="宋体" w:cs="宋体"/>
                <w:color w:val="auto"/>
                <w:sz w:val="24"/>
                <w:szCs w:val="24"/>
                <w:lang w:bidi="ar"/>
              </w:rPr>
              <w:t>分</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334729D">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8</w:t>
            </w:r>
            <w:r>
              <w:rPr>
                <w:rStyle w:val="13"/>
                <w:rFonts w:hint="eastAsia" w:ascii="宋体" w:hAnsi="宋体" w:eastAsia="宋体" w:cs="宋体"/>
                <w:color w:val="auto"/>
                <w:sz w:val="24"/>
                <w:szCs w:val="24"/>
                <w:lang w:bidi="ar"/>
              </w:rPr>
              <w:t>分</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A69635C">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6</w:t>
            </w:r>
            <w:r>
              <w:rPr>
                <w:rStyle w:val="13"/>
                <w:rFonts w:hint="eastAsia" w:ascii="宋体" w:hAnsi="宋体" w:eastAsia="宋体" w:cs="宋体"/>
                <w:color w:val="auto"/>
                <w:sz w:val="24"/>
                <w:szCs w:val="24"/>
                <w:lang w:bidi="ar"/>
              </w:rPr>
              <w:t>分</w:t>
            </w:r>
          </w:p>
        </w:tc>
        <w:tc>
          <w:tcPr>
            <w:tcW w:w="1023"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515E046">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0</w:t>
            </w:r>
            <w:r>
              <w:rPr>
                <w:rStyle w:val="13"/>
                <w:rFonts w:hint="eastAsia" w:ascii="宋体" w:hAnsi="宋体" w:eastAsia="宋体" w:cs="宋体"/>
                <w:color w:val="auto"/>
                <w:sz w:val="24"/>
                <w:szCs w:val="24"/>
                <w:lang w:bidi="ar"/>
              </w:rPr>
              <w:t>分</w:t>
            </w:r>
          </w:p>
        </w:tc>
        <w:tc>
          <w:tcPr>
            <w:tcW w:w="74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092923A">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得分</w:t>
            </w:r>
          </w:p>
        </w:tc>
      </w:tr>
      <w:tr w14:paraId="45B5A7B6">
        <w:tblPrEx>
          <w:tblCellMar>
            <w:top w:w="0" w:type="dxa"/>
            <w:left w:w="0" w:type="dxa"/>
            <w:bottom w:w="0" w:type="dxa"/>
            <w:right w:w="0" w:type="dxa"/>
          </w:tblCellMar>
        </w:tblPrEx>
        <w:trPr>
          <w:trHeight w:val="764" w:hRule="atLeast"/>
          <w:jc w:val="center"/>
        </w:trPr>
        <w:tc>
          <w:tcPr>
            <w:tcW w:w="504"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F77BCE3">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1</w:t>
            </w:r>
          </w:p>
        </w:tc>
        <w:tc>
          <w:tcPr>
            <w:tcW w:w="4598"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489D518C">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护理员对您是否关心，工作是否主动，对此您表示？</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EE0703B">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很满意</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FD63800">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较满意</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9A47D63">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满意</w:t>
            </w:r>
          </w:p>
        </w:tc>
        <w:tc>
          <w:tcPr>
            <w:tcW w:w="1023"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AED6DB6">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不满意</w:t>
            </w:r>
          </w:p>
        </w:tc>
        <w:tc>
          <w:tcPr>
            <w:tcW w:w="74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394B1E5">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2046F977">
        <w:tblPrEx>
          <w:tblCellMar>
            <w:top w:w="0" w:type="dxa"/>
            <w:left w:w="0" w:type="dxa"/>
            <w:bottom w:w="0" w:type="dxa"/>
            <w:right w:w="0" w:type="dxa"/>
          </w:tblCellMar>
        </w:tblPrEx>
        <w:trPr>
          <w:trHeight w:val="452" w:hRule="atLeast"/>
          <w:jc w:val="center"/>
        </w:trPr>
        <w:tc>
          <w:tcPr>
            <w:tcW w:w="504"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70BBE2E">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2</w:t>
            </w:r>
          </w:p>
        </w:tc>
        <w:tc>
          <w:tcPr>
            <w:tcW w:w="4598"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4D279C95">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当您有事时，能否及时找到护理员？</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A2085E7">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及时</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C1A7ADF">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较及时</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EF5E246">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一般</w:t>
            </w:r>
          </w:p>
        </w:tc>
        <w:tc>
          <w:tcPr>
            <w:tcW w:w="1023"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3855370">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不及时</w:t>
            </w:r>
          </w:p>
        </w:tc>
        <w:tc>
          <w:tcPr>
            <w:tcW w:w="74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387442B">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12B34440">
        <w:tblPrEx>
          <w:tblCellMar>
            <w:top w:w="0" w:type="dxa"/>
            <w:left w:w="0" w:type="dxa"/>
            <w:bottom w:w="0" w:type="dxa"/>
            <w:right w:w="0" w:type="dxa"/>
          </w:tblCellMar>
        </w:tblPrEx>
        <w:trPr>
          <w:trHeight w:val="452" w:hRule="atLeast"/>
          <w:jc w:val="center"/>
        </w:trPr>
        <w:tc>
          <w:tcPr>
            <w:tcW w:w="504"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82D5281">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3</w:t>
            </w:r>
          </w:p>
        </w:tc>
        <w:tc>
          <w:tcPr>
            <w:tcW w:w="4598"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49BB7471">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护理员服务是否做到说话轻、动作轻？</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FC6B491">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做到</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D1DB9C3">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基本做</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CC93E33">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一般</w:t>
            </w:r>
          </w:p>
        </w:tc>
        <w:tc>
          <w:tcPr>
            <w:tcW w:w="1023"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8CC84A3">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未做到</w:t>
            </w:r>
          </w:p>
        </w:tc>
        <w:tc>
          <w:tcPr>
            <w:tcW w:w="74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D3799BC">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7DAF4993">
        <w:tblPrEx>
          <w:tblCellMar>
            <w:top w:w="0" w:type="dxa"/>
            <w:left w:w="0" w:type="dxa"/>
            <w:bottom w:w="0" w:type="dxa"/>
            <w:right w:w="0" w:type="dxa"/>
          </w:tblCellMar>
        </w:tblPrEx>
        <w:trPr>
          <w:trHeight w:val="452" w:hRule="atLeast"/>
          <w:jc w:val="center"/>
        </w:trPr>
        <w:tc>
          <w:tcPr>
            <w:tcW w:w="504"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85523FB">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4</w:t>
            </w:r>
          </w:p>
        </w:tc>
        <w:tc>
          <w:tcPr>
            <w:tcW w:w="4598"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192AAE14">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对护理员的服务内容是否满意？</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21D3BE2">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满意</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E424FA1">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较满意</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786A187">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一般</w:t>
            </w:r>
          </w:p>
        </w:tc>
        <w:tc>
          <w:tcPr>
            <w:tcW w:w="1023"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360984D">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不满意</w:t>
            </w:r>
          </w:p>
        </w:tc>
        <w:tc>
          <w:tcPr>
            <w:tcW w:w="74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CC7E435">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4914F7B7">
        <w:tblPrEx>
          <w:tblCellMar>
            <w:top w:w="0" w:type="dxa"/>
            <w:left w:w="0" w:type="dxa"/>
            <w:bottom w:w="0" w:type="dxa"/>
            <w:right w:w="0" w:type="dxa"/>
          </w:tblCellMar>
        </w:tblPrEx>
        <w:trPr>
          <w:trHeight w:val="452" w:hRule="atLeast"/>
          <w:jc w:val="center"/>
        </w:trPr>
        <w:tc>
          <w:tcPr>
            <w:tcW w:w="504"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30D371D">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5</w:t>
            </w:r>
          </w:p>
        </w:tc>
        <w:tc>
          <w:tcPr>
            <w:tcW w:w="4598"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603E3416">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你对护理员护理技能的评价是？</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9BC951F">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好</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572FF56">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较好</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F8AAD0A">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一般</w:t>
            </w:r>
          </w:p>
        </w:tc>
        <w:tc>
          <w:tcPr>
            <w:tcW w:w="1023"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B10B6AF">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较差</w:t>
            </w:r>
          </w:p>
        </w:tc>
        <w:tc>
          <w:tcPr>
            <w:tcW w:w="74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3163663">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44685BFB">
        <w:tblPrEx>
          <w:tblCellMar>
            <w:top w:w="0" w:type="dxa"/>
            <w:left w:w="0" w:type="dxa"/>
            <w:bottom w:w="0" w:type="dxa"/>
            <w:right w:w="0" w:type="dxa"/>
          </w:tblCellMar>
        </w:tblPrEx>
        <w:trPr>
          <w:trHeight w:val="764" w:hRule="atLeast"/>
          <w:jc w:val="center"/>
        </w:trPr>
        <w:tc>
          <w:tcPr>
            <w:tcW w:w="504"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3DCDF34">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6</w:t>
            </w:r>
          </w:p>
        </w:tc>
        <w:tc>
          <w:tcPr>
            <w:tcW w:w="4598"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2B997FDF">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护理员的衣着是否整洁？为您服务时双手是否干净？</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CCD11E0">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整洁</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822E253">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较整洁</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4C93A5A">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一般</w:t>
            </w:r>
          </w:p>
        </w:tc>
        <w:tc>
          <w:tcPr>
            <w:tcW w:w="1023"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309283C">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不整洁</w:t>
            </w:r>
          </w:p>
        </w:tc>
        <w:tc>
          <w:tcPr>
            <w:tcW w:w="74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ACD2769">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1B7CFDD9">
        <w:tblPrEx>
          <w:tblCellMar>
            <w:top w:w="0" w:type="dxa"/>
            <w:left w:w="0" w:type="dxa"/>
            <w:bottom w:w="0" w:type="dxa"/>
            <w:right w:w="0" w:type="dxa"/>
          </w:tblCellMar>
        </w:tblPrEx>
        <w:trPr>
          <w:trHeight w:val="764" w:hRule="atLeast"/>
          <w:jc w:val="center"/>
        </w:trPr>
        <w:tc>
          <w:tcPr>
            <w:tcW w:w="504"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83EFA03">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7</w:t>
            </w:r>
          </w:p>
        </w:tc>
        <w:tc>
          <w:tcPr>
            <w:tcW w:w="4598"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4B1F66D9">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您是否见到护理员在病区内玩手机看电视、闲聊、嘻闹？</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AC298C3">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没有</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A9ED19D">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基本没有</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B4BFF52">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偶尔</w:t>
            </w:r>
          </w:p>
        </w:tc>
        <w:tc>
          <w:tcPr>
            <w:tcW w:w="1023"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E3629A1">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经常有</w:t>
            </w:r>
          </w:p>
        </w:tc>
        <w:tc>
          <w:tcPr>
            <w:tcW w:w="74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63E19BB">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2A85F093">
        <w:tblPrEx>
          <w:tblCellMar>
            <w:top w:w="0" w:type="dxa"/>
            <w:left w:w="0" w:type="dxa"/>
            <w:bottom w:w="0" w:type="dxa"/>
            <w:right w:w="0" w:type="dxa"/>
          </w:tblCellMar>
        </w:tblPrEx>
        <w:trPr>
          <w:trHeight w:val="595" w:hRule="atLeast"/>
          <w:jc w:val="center"/>
        </w:trPr>
        <w:tc>
          <w:tcPr>
            <w:tcW w:w="504"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2A9788E">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8</w:t>
            </w:r>
          </w:p>
        </w:tc>
        <w:tc>
          <w:tcPr>
            <w:tcW w:w="4598"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45013530">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护理员有向您索取食品、钱财的现象吗？</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A71B932">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没有</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BB419A7">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基本没有</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C537FE4">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偶尔</w:t>
            </w:r>
          </w:p>
        </w:tc>
        <w:tc>
          <w:tcPr>
            <w:tcW w:w="1023"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F60AAB0">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经常有</w:t>
            </w:r>
          </w:p>
        </w:tc>
        <w:tc>
          <w:tcPr>
            <w:tcW w:w="74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A2F0C1A">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6C32EE9C">
        <w:tblPrEx>
          <w:tblCellMar>
            <w:top w:w="0" w:type="dxa"/>
            <w:left w:w="0" w:type="dxa"/>
            <w:bottom w:w="0" w:type="dxa"/>
            <w:right w:w="0" w:type="dxa"/>
          </w:tblCellMar>
        </w:tblPrEx>
        <w:trPr>
          <w:trHeight w:val="452" w:hRule="atLeast"/>
          <w:jc w:val="center"/>
        </w:trPr>
        <w:tc>
          <w:tcPr>
            <w:tcW w:w="504"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46FEB70">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9</w:t>
            </w:r>
          </w:p>
        </w:tc>
        <w:tc>
          <w:tcPr>
            <w:tcW w:w="4598"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75747407">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您对护理员服务总体印象？</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966CAF3">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很满意</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5AA5D09">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较满意</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41EB5F9">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满意</w:t>
            </w:r>
          </w:p>
        </w:tc>
        <w:tc>
          <w:tcPr>
            <w:tcW w:w="1023"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E782631">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不满意</w:t>
            </w:r>
          </w:p>
        </w:tc>
        <w:tc>
          <w:tcPr>
            <w:tcW w:w="74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F57FC7D">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0D5D6228">
        <w:tblPrEx>
          <w:tblCellMar>
            <w:top w:w="0" w:type="dxa"/>
            <w:left w:w="0" w:type="dxa"/>
            <w:bottom w:w="0" w:type="dxa"/>
            <w:right w:w="0" w:type="dxa"/>
          </w:tblCellMar>
        </w:tblPrEx>
        <w:trPr>
          <w:trHeight w:val="452" w:hRule="atLeast"/>
          <w:jc w:val="center"/>
        </w:trPr>
        <w:tc>
          <w:tcPr>
            <w:tcW w:w="504"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36E1B3B">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10</w:t>
            </w:r>
          </w:p>
        </w:tc>
        <w:tc>
          <w:tcPr>
            <w:tcW w:w="4598"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54B745E7">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sz w:val="24"/>
                <w:szCs w:val="24"/>
              </w:rPr>
              <w:t>您知晓陪护服务的收费标准吗？</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BAD4878">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rPr>
              <w:t>知晓</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697DB32">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rPr>
              <w:t>部分知晓</w:t>
            </w:r>
          </w:p>
        </w:tc>
        <w:tc>
          <w:tcPr>
            <w:tcW w:w="10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0E64E54">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p>
        </w:tc>
        <w:tc>
          <w:tcPr>
            <w:tcW w:w="1023"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7AC4AD3">
            <w:pPr>
              <w:keepNext w:val="0"/>
              <w:keepLines w:val="0"/>
              <w:pageBreakBefore w:val="0"/>
              <w:widowControl/>
              <w:kinsoku/>
              <w:wordWrap/>
              <w:overflowPunct/>
              <w:topLinePunct w:val="0"/>
              <w:bidi w:val="0"/>
              <w:snapToGrid/>
              <w:spacing w:line="240" w:lineRule="auto"/>
              <w:ind w:left="0" w:leftChars="0"/>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rPr>
              <w:t>不知晓</w:t>
            </w:r>
          </w:p>
        </w:tc>
        <w:tc>
          <w:tcPr>
            <w:tcW w:w="74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57F63CA">
            <w:pPr>
              <w:keepNext w:val="0"/>
              <w:keepLines w:val="0"/>
              <w:pageBreakBefore w:val="0"/>
              <w:kinsoku/>
              <w:wordWrap/>
              <w:overflowPunct/>
              <w:topLinePunct w:val="0"/>
              <w:bidi w:val="0"/>
              <w:snapToGrid/>
              <w:spacing w:line="240" w:lineRule="auto"/>
              <w:ind w:left="0" w:leftChars="0"/>
              <w:jc w:val="center"/>
              <w:rPr>
                <w:rFonts w:hint="eastAsia" w:ascii="宋体" w:hAnsi="宋体" w:eastAsia="宋体" w:cs="宋体"/>
                <w:color w:val="auto"/>
                <w:sz w:val="24"/>
                <w:szCs w:val="24"/>
              </w:rPr>
            </w:pPr>
          </w:p>
        </w:tc>
      </w:tr>
      <w:tr w14:paraId="572C98A9">
        <w:tblPrEx>
          <w:tblCellMar>
            <w:top w:w="0" w:type="dxa"/>
            <w:left w:w="0" w:type="dxa"/>
            <w:bottom w:w="0" w:type="dxa"/>
            <w:right w:w="0" w:type="dxa"/>
          </w:tblCellMar>
        </w:tblPrEx>
        <w:trPr>
          <w:trHeight w:val="452" w:hRule="atLeast"/>
          <w:jc w:val="center"/>
        </w:trPr>
        <w:tc>
          <w:tcPr>
            <w:tcW w:w="9940" w:type="dxa"/>
            <w:gridSpan w:val="7"/>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66593D6">
            <w:pPr>
              <w:keepNext w:val="0"/>
              <w:keepLines w:val="0"/>
              <w:pageBreakBefore w:val="0"/>
              <w:kinsoku/>
              <w:wordWrap/>
              <w:overflowPunct/>
              <w:topLinePunct w:val="0"/>
              <w:bidi w:val="0"/>
              <w:snapToGrid/>
              <w:spacing w:line="240" w:lineRule="auto"/>
              <w:ind w:left="0" w:leftChars="0"/>
              <w:jc w:val="left"/>
              <w:rPr>
                <w:rFonts w:hint="eastAsia" w:ascii="宋体" w:hAnsi="宋体" w:eastAsia="宋体" w:cs="宋体"/>
                <w:color w:val="auto"/>
                <w:sz w:val="24"/>
                <w:szCs w:val="24"/>
              </w:rPr>
            </w:pPr>
            <w:r>
              <w:rPr>
                <w:rFonts w:hint="eastAsia" w:ascii="宋体" w:hAnsi="宋体" w:eastAsia="宋体" w:cs="宋体"/>
                <w:color w:val="auto"/>
                <w:sz w:val="24"/>
                <w:szCs w:val="24"/>
              </w:rPr>
              <w:t>您的陪护服务形式（勾选）：一对一、一对二、一对三       收费价格是（ ）元/日</w:t>
            </w:r>
          </w:p>
        </w:tc>
      </w:tr>
      <w:tr w14:paraId="0DF3A384">
        <w:tblPrEx>
          <w:tblCellMar>
            <w:top w:w="0" w:type="dxa"/>
            <w:left w:w="0" w:type="dxa"/>
            <w:bottom w:w="0" w:type="dxa"/>
            <w:right w:w="0" w:type="dxa"/>
          </w:tblCellMar>
        </w:tblPrEx>
        <w:trPr>
          <w:trHeight w:val="775" w:hRule="atLeast"/>
          <w:jc w:val="center"/>
        </w:trPr>
        <w:tc>
          <w:tcPr>
            <w:tcW w:w="9940" w:type="dxa"/>
            <w:gridSpan w:val="7"/>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7FCF44D">
            <w:pPr>
              <w:keepNext w:val="0"/>
              <w:keepLines w:val="0"/>
              <w:pageBreakBefore w:val="0"/>
              <w:widowControl/>
              <w:kinsoku/>
              <w:wordWrap/>
              <w:overflowPunct/>
              <w:topLinePunct w:val="0"/>
              <w:bidi w:val="0"/>
              <w:snapToGrid/>
              <w:spacing w:line="240" w:lineRule="auto"/>
              <w:ind w:left="0" w:leftChars="0"/>
              <w:jc w:val="left"/>
              <w:textAlignment w:val="center"/>
              <w:rPr>
                <w:rFonts w:hint="eastAsia" w:ascii="宋体" w:hAnsi="宋体" w:eastAsia="宋体" w:cs="宋体"/>
                <w:color w:val="auto"/>
                <w:sz w:val="24"/>
                <w:szCs w:val="24"/>
              </w:rPr>
            </w:pPr>
            <w:r>
              <w:rPr>
                <w:rFonts w:hint="eastAsia" w:ascii="宋体" w:hAnsi="宋体" w:eastAsia="宋体" w:cs="宋体"/>
                <w:color w:val="auto"/>
                <w:sz w:val="24"/>
                <w:szCs w:val="24"/>
              </w:rPr>
              <w:t>您的意见与建议：</w:t>
            </w:r>
          </w:p>
          <w:p w14:paraId="38BEC198">
            <w:pPr>
              <w:pStyle w:val="8"/>
              <w:keepNext w:val="0"/>
              <w:keepLines w:val="0"/>
              <w:pageBreakBefore w:val="0"/>
              <w:kinsoku/>
              <w:wordWrap/>
              <w:overflowPunct/>
              <w:topLinePunct w:val="0"/>
              <w:bidi w:val="0"/>
              <w:snapToGrid/>
              <w:spacing w:after="0" w:line="240" w:lineRule="auto"/>
              <w:ind w:left="0" w:leftChars="0"/>
              <w:rPr>
                <w:rFonts w:hint="eastAsia" w:ascii="宋体" w:hAnsi="宋体" w:eastAsia="宋体" w:cs="宋体"/>
                <w:color w:val="auto"/>
                <w:sz w:val="24"/>
                <w:szCs w:val="24"/>
              </w:rPr>
            </w:pPr>
          </w:p>
        </w:tc>
      </w:tr>
    </w:tbl>
    <w:p w14:paraId="7A8F9EC3">
      <w:pPr>
        <w:keepNext w:val="0"/>
        <w:keepLines w:val="0"/>
        <w:pageBreakBefore w:val="0"/>
        <w:kinsoku/>
        <w:wordWrap/>
        <w:overflowPunct/>
        <w:topLinePunct w:val="0"/>
        <w:autoSpaceDE w:val="0"/>
        <w:autoSpaceDN w:val="0"/>
        <w:bidi w:val="0"/>
        <w:adjustRightInd w:val="0"/>
        <w:snapToGrid/>
        <w:spacing w:line="240" w:lineRule="auto"/>
        <w:ind w:left="0" w:leftChars="0" w:firstLine="480" w:firstLineChars="200"/>
        <w:rPr>
          <w:rFonts w:hint="eastAsia" w:ascii="宋体" w:hAnsi="宋体" w:eastAsia="宋体" w:cs="宋体"/>
          <w:color w:val="auto"/>
          <w:sz w:val="24"/>
          <w:szCs w:val="24"/>
        </w:rPr>
      </w:pPr>
    </w:p>
    <w:p w14:paraId="60313C1F">
      <w:pPr>
        <w:keepNext w:val="0"/>
        <w:keepLines w:val="0"/>
        <w:pageBreakBefore w:val="0"/>
        <w:kinsoku/>
        <w:wordWrap/>
        <w:overflowPunct/>
        <w:topLinePunct w:val="0"/>
        <w:autoSpaceDE w:val="0"/>
        <w:autoSpaceDN w:val="0"/>
        <w:bidi w:val="0"/>
        <w:adjustRightInd w:val="0"/>
        <w:snapToGrid/>
        <w:spacing w:line="240" w:lineRule="auto"/>
        <w:ind w:left="0" w:leftChars="0"/>
        <w:rPr>
          <w:rFonts w:hint="eastAsia" w:ascii="宋体" w:hAnsi="宋体" w:eastAsia="宋体" w:cs="宋体"/>
          <w:color w:val="auto"/>
          <w:sz w:val="24"/>
          <w:szCs w:val="24"/>
        </w:rPr>
      </w:pPr>
    </w:p>
    <w:p w14:paraId="5741DAE3">
      <w:pPr>
        <w:pStyle w:val="8"/>
        <w:keepNext w:val="0"/>
        <w:keepLines w:val="0"/>
        <w:pageBreakBefore w:val="0"/>
        <w:kinsoku/>
        <w:wordWrap/>
        <w:overflowPunct/>
        <w:topLinePunct w:val="0"/>
        <w:bidi w:val="0"/>
        <w:snapToGrid/>
        <w:spacing w:after="0" w:line="240" w:lineRule="auto"/>
        <w:ind w:left="0" w:leftChars="0" w:firstLine="0" w:firstLineChars="0"/>
        <w:rPr>
          <w:rFonts w:hint="eastAsia" w:ascii="宋体" w:hAnsi="宋体" w:eastAsia="宋体" w:cs="宋体"/>
          <w:color w:val="auto"/>
          <w:sz w:val="24"/>
          <w:szCs w:val="24"/>
        </w:rPr>
      </w:pPr>
    </w:p>
    <w:p w14:paraId="659D0916">
      <w:pPr>
        <w:pStyle w:val="8"/>
        <w:keepNext w:val="0"/>
        <w:keepLines w:val="0"/>
        <w:pageBreakBefore w:val="0"/>
        <w:kinsoku/>
        <w:wordWrap/>
        <w:overflowPunct/>
        <w:topLinePunct w:val="0"/>
        <w:bidi w:val="0"/>
        <w:snapToGrid/>
        <w:spacing w:after="0" w:line="240" w:lineRule="auto"/>
        <w:ind w:left="0" w:leftChars="0" w:firstLine="0" w:firstLineChars="0"/>
        <w:rPr>
          <w:rFonts w:hint="eastAsia" w:ascii="宋体" w:hAnsi="宋体" w:eastAsia="宋体" w:cs="宋体"/>
          <w:color w:val="auto"/>
          <w:sz w:val="24"/>
          <w:szCs w:val="24"/>
        </w:rPr>
      </w:pPr>
    </w:p>
    <w:p w14:paraId="7B016427">
      <w:pPr>
        <w:pStyle w:val="14"/>
        <w:pageBreakBefore w:val="0"/>
        <w:kinsoku/>
        <w:wordWrap/>
        <w:overflowPunct/>
        <w:topLinePunct w:val="0"/>
        <w:bidi w:val="0"/>
        <w:snapToGrid/>
        <w:spacing w:before="0" w:after="0" w:line="560" w:lineRule="exact"/>
        <w:ind w:left="0" w:leftChars="0"/>
        <w:rPr>
          <w:rFonts w:hint="eastAsia" w:ascii="宋体" w:hAnsi="宋体" w:eastAsia="宋体" w:cs="宋体"/>
          <w:color w:val="auto"/>
          <w:sz w:val="24"/>
          <w:szCs w:val="24"/>
        </w:rPr>
      </w:pPr>
    </w:p>
    <w:p w14:paraId="3C9FEEA1">
      <w:pPr>
        <w:pageBreakBefore w:val="0"/>
        <w:kinsoku/>
        <w:wordWrap/>
        <w:overflowPunct/>
        <w:topLinePunct w:val="0"/>
        <w:bidi w:val="0"/>
        <w:snapToGrid/>
        <w:spacing w:line="560" w:lineRule="exact"/>
        <w:ind w:left="0" w:leftChars="0"/>
        <w:rPr>
          <w:rFonts w:hint="eastAsia" w:ascii="宋体" w:hAnsi="宋体" w:eastAsia="宋体" w:cs="宋体"/>
          <w:color w:val="auto"/>
          <w:sz w:val="24"/>
          <w:szCs w:val="24"/>
        </w:rPr>
      </w:pPr>
    </w:p>
    <w:p w14:paraId="7302F625">
      <w:pPr>
        <w:pStyle w:val="8"/>
        <w:pageBreakBefore w:val="0"/>
        <w:kinsoku/>
        <w:wordWrap/>
        <w:overflowPunct/>
        <w:topLinePunct w:val="0"/>
        <w:bidi w:val="0"/>
        <w:snapToGrid/>
        <w:spacing w:after="0" w:line="560" w:lineRule="exact"/>
        <w:ind w:left="0" w:leftChars="0"/>
        <w:rPr>
          <w:rFonts w:hint="eastAsia" w:ascii="宋体" w:hAnsi="宋体" w:eastAsia="宋体" w:cs="宋体"/>
          <w:color w:val="auto"/>
          <w:sz w:val="24"/>
          <w:szCs w:val="24"/>
        </w:rPr>
      </w:pPr>
    </w:p>
    <w:p w14:paraId="751E3B66">
      <w:pPr>
        <w:pStyle w:val="4"/>
        <w:pageBreakBefore w:val="0"/>
        <w:kinsoku/>
        <w:wordWrap/>
        <w:overflowPunct/>
        <w:topLinePunct w:val="0"/>
        <w:bidi w:val="0"/>
        <w:snapToGrid/>
        <w:spacing w:line="560" w:lineRule="exact"/>
        <w:ind w:left="0" w:leftChars="0"/>
        <w:rPr>
          <w:rFonts w:hint="eastAsia" w:ascii="宋体" w:hAnsi="宋体" w:eastAsia="宋体" w:cs="宋体"/>
          <w:color w:val="auto"/>
          <w:sz w:val="24"/>
          <w:szCs w:val="24"/>
        </w:rPr>
      </w:pPr>
    </w:p>
    <w:p w14:paraId="26C33E8E">
      <w:pPr>
        <w:pStyle w:val="4"/>
        <w:pageBreakBefore w:val="0"/>
        <w:kinsoku/>
        <w:wordWrap/>
        <w:overflowPunct/>
        <w:topLinePunct w:val="0"/>
        <w:bidi w:val="0"/>
        <w:snapToGrid/>
        <w:spacing w:line="560" w:lineRule="exact"/>
        <w:ind w:left="0" w:leftChars="0"/>
        <w:rPr>
          <w:rFonts w:hint="eastAsia" w:ascii="宋体" w:hAnsi="宋体" w:eastAsia="宋体" w:cs="宋体"/>
          <w:color w:val="auto"/>
          <w:sz w:val="24"/>
          <w:szCs w:val="24"/>
        </w:rPr>
      </w:pPr>
    </w:p>
    <w:p w14:paraId="2D1177BC">
      <w:pPr>
        <w:pStyle w:val="4"/>
        <w:pageBreakBefore w:val="0"/>
        <w:kinsoku/>
        <w:wordWrap/>
        <w:overflowPunct/>
        <w:topLinePunct w:val="0"/>
        <w:bidi w:val="0"/>
        <w:snapToGrid/>
        <w:spacing w:line="560" w:lineRule="exact"/>
        <w:ind w:left="0" w:leftChars="0"/>
        <w:rPr>
          <w:rFonts w:hint="eastAsia" w:ascii="宋体" w:hAnsi="宋体" w:eastAsia="宋体" w:cs="宋体"/>
          <w:color w:val="auto"/>
          <w:sz w:val="24"/>
          <w:szCs w:val="24"/>
        </w:rPr>
      </w:pPr>
    </w:p>
    <w:p w14:paraId="1A10E3B6">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六、项目要求</w:t>
      </w:r>
    </w:p>
    <w:p w14:paraId="671DB79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1、中标供应商</w:t>
      </w:r>
      <w:r>
        <w:rPr>
          <w:rFonts w:hint="eastAsia" w:ascii="宋体" w:hAnsi="宋体" w:eastAsia="宋体" w:cs="宋体"/>
          <w:color w:val="auto"/>
          <w:sz w:val="24"/>
          <w:szCs w:val="24"/>
          <w:highlight w:val="none"/>
          <w:lang w:eastAsia="zh-CN"/>
        </w:rPr>
        <w:t>在签订合同时</w:t>
      </w:r>
      <w:r>
        <w:rPr>
          <w:rFonts w:hint="eastAsia" w:ascii="宋体" w:hAnsi="宋体" w:eastAsia="宋体" w:cs="宋体"/>
          <w:color w:val="auto"/>
          <w:sz w:val="24"/>
          <w:szCs w:val="24"/>
          <w:highlight w:val="none"/>
          <w:lang w:val="en-US" w:eastAsia="zh-CN"/>
        </w:rPr>
        <w:t>需向采购人提交履约保证金为年度合同总价的2%（405万元*中标费率*2%），转账至采购人指定账户，合同到期后无息返还。</w:t>
      </w:r>
    </w:p>
    <w:p w14:paraId="7CC8810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2、中标供应商</w:t>
      </w:r>
      <w:r>
        <w:rPr>
          <w:rFonts w:hint="eastAsia" w:ascii="宋体" w:hAnsi="宋体" w:eastAsia="宋体" w:cs="宋体"/>
          <w:color w:val="auto"/>
          <w:sz w:val="24"/>
          <w:szCs w:val="24"/>
          <w:highlight w:val="none"/>
          <w:lang w:eastAsia="zh-CN"/>
        </w:rPr>
        <w:t>在提供陪护服务前须与患者或患者家属签订</w:t>
      </w:r>
      <w:r>
        <w:rPr>
          <w:rFonts w:hint="eastAsia" w:ascii="宋体" w:hAnsi="宋体" w:eastAsia="宋体" w:cs="宋体"/>
          <w:color w:val="auto"/>
          <w:sz w:val="24"/>
          <w:szCs w:val="24"/>
          <w:highlight w:val="none"/>
          <w:lang w:val="en-US" w:eastAsia="zh-CN"/>
        </w:rPr>
        <w:t>陪护</w:t>
      </w:r>
      <w:r>
        <w:rPr>
          <w:rFonts w:hint="eastAsia" w:ascii="宋体" w:hAnsi="宋体" w:eastAsia="宋体" w:cs="宋体"/>
          <w:color w:val="auto"/>
          <w:sz w:val="24"/>
          <w:szCs w:val="24"/>
          <w:highlight w:val="none"/>
          <w:lang w:eastAsia="zh-CN"/>
        </w:rPr>
        <w:t>服务合同</w:t>
      </w:r>
      <w:r>
        <w:rPr>
          <w:rFonts w:hint="eastAsia" w:ascii="宋体" w:hAnsi="宋体" w:eastAsia="宋体" w:cs="宋体"/>
          <w:color w:val="auto"/>
          <w:sz w:val="24"/>
          <w:szCs w:val="24"/>
          <w:highlight w:val="none"/>
          <w:lang w:val="en-US" w:eastAsia="zh-CN"/>
        </w:rPr>
        <w:t>，且在服务合同中明确规定由中标供应商独立承担相应的安全、服务责任。中标供应商与</w:t>
      </w:r>
      <w:r>
        <w:rPr>
          <w:rFonts w:hint="eastAsia" w:ascii="宋体" w:hAnsi="宋体" w:eastAsia="宋体" w:cs="宋体"/>
          <w:color w:val="auto"/>
          <w:sz w:val="24"/>
          <w:szCs w:val="24"/>
          <w:highlight w:val="none"/>
          <w:lang w:eastAsia="zh-CN"/>
        </w:rPr>
        <w:t>患者或患者家属签订</w:t>
      </w:r>
      <w:r>
        <w:rPr>
          <w:rFonts w:hint="eastAsia" w:ascii="宋体" w:hAnsi="宋体" w:eastAsia="宋体" w:cs="宋体"/>
          <w:color w:val="auto"/>
          <w:sz w:val="24"/>
          <w:szCs w:val="24"/>
          <w:highlight w:val="none"/>
          <w:lang w:val="en-US" w:eastAsia="zh-CN"/>
        </w:rPr>
        <w:t>的陪护</w:t>
      </w:r>
      <w:r>
        <w:rPr>
          <w:rFonts w:hint="eastAsia" w:ascii="宋体" w:hAnsi="宋体" w:eastAsia="宋体" w:cs="宋体"/>
          <w:color w:val="auto"/>
          <w:sz w:val="24"/>
          <w:szCs w:val="24"/>
          <w:highlight w:val="none"/>
          <w:lang w:eastAsia="zh-CN"/>
        </w:rPr>
        <w:t>服务合同</w:t>
      </w:r>
      <w:r>
        <w:rPr>
          <w:rFonts w:hint="eastAsia" w:ascii="宋体" w:hAnsi="宋体" w:eastAsia="宋体" w:cs="宋体"/>
          <w:color w:val="auto"/>
          <w:sz w:val="24"/>
          <w:szCs w:val="24"/>
          <w:highlight w:val="none"/>
          <w:lang w:val="en-US" w:eastAsia="zh-CN"/>
        </w:rPr>
        <w:t>需要采购人护理部门进行审核，签订协议一式叁份，报护理部备案一份。</w:t>
      </w:r>
    </w:p>
    <w:p w14:paraId="1F1EDE0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3、中标供应商及其服务人员</w:t>
      </w:r>
      <w:r>
        <w:rPr>
          <w:rFonts w:hint="eastAsia" w:ascii="宋体" w:hAnsi="宋体" w:eastAsia="宋体" w:cs="宋体"/>
          <w:bCs/>
          <w:color w:val="auto"/>
          <w:sz w:val="24"/>
          <w:szCs w:val="24"/>
          <w:highlight w:val="none"/>
          <w:lang w:val="en-US" w:eastAsia="zh-CN"/>
        </w:rPr>
        <w:t>须服从采购人护理部门及所在病区医护人员的管理，</w:t>
      </w:r>
      <w:r>
        <w:rPr>
          <w:rFonts w:hint="eastAsia" w:ascii="宋体" w:hAnsi="宋体" w:eastAsia="宋体" w:cs="宋体"/>
          <w:color w:val="auto"/>
          <w:sz w:val="24"/>
          <w:szCs w:val="24"/>
          <w:highlight w:val="none"/>
          <w:lang w:val="en-US" w:eastAsia="zh-CN"/>
        </w:rPr>
        <w:t>自行解决</w:t>
      </w:r>
      <w:r>
        <w:rPr>
          <w:rFonts w:hint="eastAsia" w:ascii="宋体" w:hAnsi="宋体" w:eastAsia="宋体" w:cs="宋体"/>
          <w:color w:val="auto"/>
          <w:sz w:val="24"/>
          <w:szCs w:val="24"/>
          <w:highlight w:val="none"/>
          <w:lang w:eastAsia="zh-CN"/>
        </w:rPr>
        <w:t>服务过程中的相关纠纷</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lang w:eastAsia="zh-CN"/>
        </w:rPr>
        <w:t>承担</w:t>
      </w:r>
      <w:r>
        <w:rPr>
          <w:rFonts w:hint="eastAsia" w:ascii="宋体" w:hAnsi="宋体" w:eastAsia="宋体" w:cs="宋体"/>
          <w:color w:val="auto"/>
          <w:sz w:val="24"/>
          <w:szCs w:val="24"/>
          <w:highlight w:val="none"/>
          <w:lang w:val="en-US" w:eastAsia="zh-CN"/>
        </w:rPr>
        <w:t>服务过程中</w:t>
      </w:r>
      <w:r>
        <w:rPr>
          <w:rFonts w:hint="eastAsia" w:ascii="宋体" w:hAnsi="宋体" w:eastAsia="宋体" w:cs="宋体"/>
          <w:color w:val="auto"/>
          <w:sz w:val="24"/>
          <w:szCs w:val="24"/>
          <w:highlight w:val="none"/>
          <w:lang w:eastAsia="zh-CN"/>
        </w:rPr>
        <w:t>的安全责任；</w:t>
      </w:r>
      <w:r>
        <w:rPr>
          <w:rFonts w:hint="eastAsia" w:ascii="宋体" w:hAnsi="宋体" w:eastAsia="宋体" w:cs="宋体"/>
          <w:color w:val="auto"/>
          <w:sz w:val="24"/>
          <w:szCs w:val="24"/>
          <w:highlight w:val="none"/>
          <w:lang w:val="en-US" w:eastAsia="zh-CN"/>
        </w:rPr>
        <w:t>发生服务纠纷或安全事故的，由中标供应商自行承担全部的经济和法律责任，与采购人无关；中标供应商服务过程中造成采购人损失的，相关损失由中标供应商负责赔偿。</w:t>
      </w:r>
    </w:p>
    <w:p w14:paraId="7A20437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4、中标供应商须按季度向采购人</w:t>
      </w:r>
      <w:r>
        <w:rPr>
          <w:rFonts w:hint="eastAsia" w:ascii="宋体" w:hAnsi="宋体" w:eastAsia="宋体" w:cs="宋体"/>
          <w:bCs/>
          <w:color w:val="auto"/>
          <w:sz w:val="24"/>
          <w:szCs w:val="24"/>
          <w:highlight w:val="none"/>
          <w:lang w:val="en-US" w:eastAsia="zh-CN"/>
        </w:rPr>
        <w:t>护理部门</w:t>
      </w:r>
      <w:r>
        <w:rPr>
          <w:rFonts w:hint="eastAsia" w:ascii="宋体" w:hAnsi="宋体" w:eastAsia="宋体" w:cs="宋体"/>
          <w:color w:val="auto"/>
          <w:sz w:val="24"/>
          <w:szCs w:val="24"/>
          <w:highlight w:val="none"/>
          <w:lang w:val="en-US" w:eastAsia="zh-CN"/>
        </w:rPr>
        <w:t>递交服务情况报告。</w:t>
      </w:r>
    </w:p>
    <w:p w14:paraId="303D2C8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5、中标供应商每个年度须向采购人缴纳10万元的“爱心救助金”，用于</w:t>
      </w:r>
      <w:r>
        <w:rPr>
          <w:rFonts w:hint="eastAsia" w:ascii="宋体" w:hAnsi="宋体" w:eastAsia="宋体" w:cs="宋体"/>
          <w:color w:val="auto"/>
          <w:sz w:val="24"/>
          <w:szCs w:val="24"/>
          <w:highlight w:val="none"/>
          <w:u w:val="none"/>
          <w:lang w:val="en-US" w:eastAsia="zh-CN"/>
        </w:rPr>
        <w:t>中标人对救助人员的陪护及水电支出。</w:t>
      </w:r>
    </w:p>
    <w:p w14:paraId="5D37351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6、其他：</w:t>
      </w:r>
    </w:p>
    <w:p w14:paraId="425BEFBD">
      <w:pPr>
        <w:pStyle w:val="4"/>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免费提供一间不超过20平米的办公场所，中标供应商自行配备办公用品（含系统）、家具、发票（含收据，患者、陪护公司、陪护人员、护理部各一联）、陪护用具（含陪护人员工作所需的必备物品）等。</w:t>
      </w:r>
    </w:p>
    <w:p w14:paraId="0F0844D1">
      <w:pPr>
        <w:pStyle w:val="4"/>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（2）中标供应商须提供7*24小时服务，在办公场所须有值班人员，受理业务后30分钟内安排陪护人员提供陪护服务。</w:t>
      </w:r>
    </w:p>
    <w:p w14:paraId="2BB57F8B">
      <w:pPr>
        <w:pStyle w:val="4"/>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（3）中标供应商管理人员加强对陪护人员的监督管理，每日不少于三次对陪护人员工作的巡视，并将陪护情况定期汇报至护理部门。</w:t>
      </w:r>
    </w:p>
    <w:p w14:paraId="29A8AB2D">
      <w:pPr>
        <w:pStyle w:val="4"/>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（4）中标供应商须完成供应商收费管理系统建设，陪护费用须经过收费系统，向患者出具票据，并接受采购人监管。</w:t>
      </w:r>
    </w:p>
    <w:p w14:paraId="3B8EA252">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中标供应商应遵循“自愿、平等”原则，严格按照时间收费，对于不满1小时的免费提供服务；1小时（含）至6小时的按照中标单价的25%计费；6小时（含）至12小时的，按照中标单价的50%计费；12小时（含）及以上的按照中标单价计费。</w:t>
      </w:r>
    </w:p>
    <w:p w14:paraId="51865030">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（6）报价要求：本项目采用费率报价，投标人报价不得高于100%（费率保留两位小数，格式为**.**%），否则按无效响应处理。</w:t>
      </w:r>
    </w:p>
    <w:p w14:paraId="1C87EA83">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中标单价为采购需求中的服务单价限价*中标费率。</w:t>
      </w:r>
    </w:p>
    <w:p w14:paraId="32E8FE39">
      <w:pPr>
        <w:pStyle w:val="3"/>
        <w:pageBreakBefore w:val="0"/>
        <w:widowControl w:val="0"/>
        <w:kinsoku/>
        <w:wordWrap/>
        <w:overflowPunct/>
        <w:topLinePunct w:val="0"/>
        <w:autoSpaceDE/>
        <w:autoSpaceDN/>
        <w:bidi w:val="0"/>
        <w:adjustRightInd/>
        <w:snapToGrid/>
        <w:spacing w:before="0" w:after="0" w:line="520" w:lineRule="exact"/>
        <w:ind w:firstLine="480" w:firstLineChars="20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举例说明：如中标费率为80%。特级1天收费为230元/天*80%=184元/天。顺产（2胎）打包价为（780元+500元）*80%=1024元。</w:t>
      </w:r>
    </w:p>
    <w:p w14:paraId="72D33D4C">
      <w:pP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收费时，四舍五入，精确到元，如：169.45元，按170元收取，169.44元，按照169收取。</w:t>
      </w:r>
    </w:p>
    <w:p w14:paraId="76D8F9DE">
      <w:pPr>
        <w:rPr>
          <w:rFonts w:hint="eastAsia" w:ascii="宋体" w:hAnsi="宋体" w:eastAsia="宋体" w:cs="宋体"/>
          <w:b w:val="0"/>
          <w:bCs w:val="0"/>
          <w:color w:val="auto"/>
          <w:kern w:val="2"/>
          <w:sz w:val="24"/>
          <w:szCs w:val="24"/>
          <w:highlight w:val="none"/>
          <w:lang w:val="en-US" w:eastAsia="zh-CN" w:bidi="ar-SA"/>
        </w:rPr>
      </w:pPr>
    </w:p>
    <w:p w14:paraId="6F1ED58B">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8B5C9">
    <w:pPr>
      <w:spacing w:line="220" w:lineRule="auto"/>
      <w:ind w:left="3323"/>
      <w:rPr>
        <w:rFonts w:ascii="宋体" w:hAnsi="宋体" w:cs="宋体"/>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D519314">
                          <w:pPr>
                            <w:pStyle w:val="7"/>
                          </w:pPr>
                          <w:r>
                            <w:t xml:space="preserve">— </w:t>
                          </w:r>
                          <w:r>
                            <w:fldChar w:fldCharType="begin"/>
                          </w:r>
                          <w:r>
                            <w:instrText xml:space="preserve"> PAGE  \* MERGEFORMAT </w:instrText>
                          </w:r>
                          <w:r>
                            <w:fldChar w:fldCharType="separate"/>
                          </w:r>
                          <w:r>
                            <w:t>42</w:t>
                          </w:r>
                          <w:r>
                            <w:fldChar w:fldCharType="end"/>
                          </w:r>
                          <w: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14:paraId="7D519314">
                    <w:pPr>
                      <w:pStyle w:val="7"/>
                    </w:pPr>
                    <w:r>
                      <w:t xml:space="preserve">— </w:t>
                    </w:r>
                    <w:r>
                      <w:fldChar w:fldCharType="begin"/>
                    </w:r>
                    <w:r>
                      <w:instrText xml:space="preserve"> PAGE  \* MERGEFORMAT </w:instrText>
                    </w:r>
                    <w:r>
                      <w:fldChar w:fldCharType="separate"/>
                    </w:r>
                    <w:r>
                      <w:t>42</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7BB9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680849"/>
    <w:multiLevelType w:val="singleLevel"/>
    <w:tmpl w:val="4E680849"/>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1D6FEB"/>
    <w:rsid w:val="361D6F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30"/>
      <w:szCs w:val="44"/>
    </w:rPr>
  </w:style>
  <w:style w:type="paragraph" w:styleId="3">
    <w:name w:val="heading 2"/>
    <w:basedOn w:val="1"/>
    <w:next w:val="1"/>
    <w:qFormat/>
    <w:uiPriority w:val="0"/>
    <w:pPr>
      <w:keepNext/>
      <w:keepLines/>
      <w:spacing w:before="260" w:after="260" w:line="416" w:lineRule="auto"/>
      <w:ind w:firstLine="628"/>
      <w:jc w:val="center"/>
      <w:outlineLvl w:val="1"/>
    </w:pPr>
    <w:rPr>
      <w:rFonts w:ascii="Arial" w:hAnsi="Arial" w:eastAsia="黑体"/>
      <w:b/>
      <w:bCs/>
      <w:sz w:val="32"/>
      <w:szCs w:val="32"/>
    </w:rPr>
  </w:style>
  <w:style w:type="character" w:default="1" w:styleId="11">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Body Text Indent"/>
    <w:basedOn w:val="1"/>
    <w:next w:val="6"/>
    <w:uiPriority w:val="0"/>
    <w:pPr>
      <w:ind w:firstLine="645"/>
    </w:pPr>
    <w:rPr>
      <w:rFonts w:ascii="楷体_GB2312" w:eastAsia="楷体_GB2312"/>
      <w:sz w:val="32"/>
    </w:rPr>
  </w:style>
  <w:style w:type="paragraph" w:styleId="6">
    <w:name w:val="envelope return"/>
    <w:basedOn w:val="1"/>
    <w:qFormat/>
    <w:uiPriority w:val="0"/>
    <w:pPr>
      <w:snapToGrid w:val="0"/>
    </w:pPr>
    <w:rPr>
      <w:rFonts w:ascii="Arial" w:hAnsi="Arial"/>
    </w:rPr>
  </w:style>
  <w:style w:type="paragraph" w:styleId="7">
    <w:name w:val="footer"/>
    <w:basedOn w:val="1"/>
    <w:qFormat/>
    <w:uiPriority w:val="99"/>
    <w:pPr>
      <w:tabs>
        <w:tab w:val="center" w:pos="4153"/>
        <w:tab w:val="right" w:pos="8306"/>
      </w:tabs>
      <w:snapToGrid w:val="0"/>
      <w:jc w:val="left"/>
    </w:pPr>
    <w:rPr>
      <w:sz w:val="18"/>
    </w:rPr>
  </w:style>
  <w:style w:type="paragraph" w:styleId="8">
    <w:name w:val="Body Text First Indent 2"/>
    <w:basedOn w:val="5"/>
    <w:next w:val="4"/>
    <w:qFormat/>
    <w:uiPriority w:val="0"/>
    <w:pPr>
      <w:spacing w:after="120"/>
      <w:ind w:left="420" w:leftChars="200" w:firstLine="420" w:firstLineChars="200"/>
    </w:pPr>
    <w:rPr>
      <w:rFonts w:eastAsia="宋体"/>
      <w:sz w:val="21"/>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font51"/>
    <w:basedOn w:val="11"/>
    <w:qFormat/>
    <w:uiPriority w:val="0"/>
    <w:rPr>
      <w:rFonts w:hint="eastAsia" w:ascii="宋体" w:hAnsi="宋体" w:eastAsia="宋体" w:cs="宋体"/>
      <w:color w:val="000000"/>
      <w:sz w:val="20"/>
      <w:szCs w:val="20"/>
      <w:u w:val="none"/>
    </w:rPr>
  </w:style>
  <w:style w:type="character" w:customStyle="1" w:styleId="13">
    <w:name w:val="font61"/>
    <w:basedOn w:val="11"/>
    <w:qFormat/>
    <w:uiPriority w:val="0"/>
    <w:rPr>
      <w:rFonts w:hint="eastAsia" w:ascii="宋体" w:hAnsi="宋体" w:eastAsia="宋体" w:cs="宋体"/>
      <w:b/>
      <w:color w:val="000000"/>
      <w:sz w:val="22"/>
      <w:szCs w:val="22"/>
      <w:u w:val="none"/>
    </w:rPr>
  </w:style>
  <w:style w:type="paragraph" w:customStyle="1" w:styleId="14">
    <w:name w:val="样式 标题 2 + 宋体 五号 行距: 单倍行距"/>
    <w:basedOn w:val="3"/>
    <w:qFormat/>
    <w:uiPriority w:val="0"/>
    <w:pPr>
      <w:spacing w:line="240" w:lineRule="auto"/>
    </w:pPr>
    <w:rPr>
      <w:rFonts w:ascii="宋体" w:hAnsi="宋体" w:eastAsia="宋体"/>
      <w:sz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2025-11-26T03:15:00Z</dcterms:created>
  <dc:creator>qzuser</dc:creator>
  <cp:lastModifiedBy>qzuser</cp:lastModifiedBy>
  <dcterms:modified xsi:type="dcterms:W3CDTF">2025-11-26T03:16:27Z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34374DDFD82243419F5D6455C2591C8F_11</vt:lpwstr>
  </property>
  <property fmtid="{D5CDD505-2E9C-101B-9397-08002B2CF9AE}" pid="4" name="KSOTemplateDocerSaveRecord">
    <vt:lpwstr>eyJoZGlkIjoiNWEzNDlkZTk1NDBjYTYyMjlmMTI5MzQ5YmM4OWVlZTEiLCJ1c2VySWQiOiIzMDg3NzY1NjQifQ==</vt:lpwstr>
  </property>
</Properties>
</file>