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020EF">
      <w:pPr>
        <w:pStyle w:val="6"/>
        <w:numPr>
          <w:ilvl w:val="0"/>
          <w:numId w:val="0"/>
        </w:numPr>
        <w:spacing w:before="0" w:after="0" w:line="560" w:lineRule="exact"/>
        <w:jc w:val="center"/>
        <w:rPr>
          <w:rFonts w:ascii="宋体" w:hAnsi="宋体" w:eastAsia="宋体" w:cs="宋体"/>
          <w:color w:val="auto"/>
          <w:sz w:val="28"/>
          <w:szCs w:val="28"/>
          <w:highlight w:val="none"/>
        </w:rPr>
      </w:pPr>
      <w:bookmarkStart w:id="0" w:name="_Toc26511"/>
      <w:bookmarkStart w:id="1" w:name="_Toc363199273"/>
      <w:r>
        <w:rPr>
          <w:rFonts w:hint="eastAsia" w:ascii="宋体" w:hAnsi="宋体" w:eastAsia="宋体" w:cs="宋体"/>
          <w:color w:val="auto"/>
          <w:sz w:val="28"/>
          <w:szCs w:val="28"/>
          <w:highlight w:val="none"/>
        </w:rPr>
        <w:t>采购需求</w:t>
      </w:r>
      <w:bookmarkEnd w:id="0"/>
    </w:p>
    <w:p w14:paraId="338942E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一、</w:t>
      </w:r>
      <w:r>
        <w:rPr>
          <w:rFonts w:hint="eastAsia" w:ascii="宋体" w:hAnsi="宋体" w:eastAsia="宋体" w:cs="宋体"/>
          <w:b/>
          <w:bCs/>
          <w:color w:val="auto"/>
          <w:kern w:val="0"/>
          <w:sz w:val="24"/>
          <w:szCs w:val="24"/>
          <w:highlight w:val="none"/>
          <w:lang w:val="en-US" w:eastAsia="zh-CN" w:bidi="ar"/>
        </w:rPr>
        <w:t>项目概况</w:t>
      </w:r>
    </w:p>
    <w:p w14:paraId="6974BC2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舒城县人民医院始建于1950年，2014年9月整体搬迁到桃溪东路新区，占地面积82亩，建筑面积10万平米，总投资4.7亿元。医院编制床位700张，实际开放床位1019张，是一所设备齐全，技术力量较为雄厚，集医、教、研、预防保健、急救为一体的三级综合性医院。2023年6月与安徽省立医院结为紧密型医联体，是第三批全国院务公开示范点，全省卫生信息化试点医院，安徽医学高等专科学校的教学医院，安徽医科大学及皖西卫生职业学院、合肥职业技术学院等实习医院，市级“诚信医院”。先后荣获 “全国百姓放心示范医院”“全省卫生系统先进集体”“省卫生先进单位”“省健康促进医院”“市文明单位”“市文明窗口”,2018、2019“中国医院竞争力县级医院201-300强”等荣誉称号。2021、2022、2023连续三年获安徽省“五星卒中防治中心”称号。</w:t>
      </w:r>
    </w:p>
    <w:p w14:paraId="7D7FFAE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本次无线网络建设，涉及区域：门诊大楼、住院大楼、传染病区、后勤楼、放疗中心、120急救中心、体检中心</w:t>
      </w:r>
      <w:r>
        <w:rPr>
          <w:rFonts w:hint="eastAsia" w:ascii="宋体" w:hAnsi="宋体" w:cs="宋体"/>
          <w:color w:val="auto"/>
          <w:kern w:val="0"/>
          <w:sz w:val="24"/>
          <w:szCs w:val="24"/>
          <w:highlight w:val="none"/>
          <w:lang w:val="en-US" w:eastAsia="zh-CN" w:bidi="ar"/>
        </w:rPr>
        <w:t>（机关门诊）</w:t>
      </w:r>
      <w:r>
        <w:rPr>
          <w:rFonts w:hint="eastAsia" w:ascii="宋体" w:hAnsi="宋体" w:eastAsia="宋体" w:cs="宋体"/>
          <w:color w:val="auto"/>
          <w:kern w:val="0"/>
          <w:sz w:val="24"/>
          <w:szCs w:val="24"/>
          <w:highlight w:val="none"/>
          <w:lang w:val="en-US" w:eastAsia="zh-CN" w:bidi="ar"/>
        </w:rPr>
        <w:t>、保卫室等无线需求区域。建设完成后，集成内网、外网和物联网，严格确保内外网数据的物理隔离，从而提供高级别的内网数据安全性，同频零漫游技术的应用能够为内网用户提供流畅的医疗应用体验，同时为住院病区病人以及陪护家属提供了可用的无线上网服务，改善广大人民群众就医体验，提升患者满意度。</w:t>
      </w:r>
    </w:p>
    <w:p w14:paraId="715FB92B">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建设目标</w:t>
      </w:r>
    </w:p>
    <w:p w14:paraId="3C97D6EF">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利用先进的无线网络技术保证医院病房区域的无线内网、外网的信号覆盖，</w:t>
      </w:r>
    </w:p>
    <w:p w14:paraId="66C3BC4D">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使医护人员能够随时随地、方便高效地使用无线网络开展移动医护业务。</w:t>
      </w:r>
    </w:p>
    <w:p w14:paraId="762FA01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2、构建一个真正可用的、无中断的无线网络，满足移动医护对无线网络的需求；</w:t>
      </w:r>
    </w:p>
    <w:p w14:paraId="658D71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3、促进移动医护业务全面开展，提高工作效率，推动医院的信息化建设；</w:t>
      </w:r>
    </w:p>
    <w:p w14:paraId="5B72CC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4、本次主体建设医院内网以及部分所需建设区域的外网；物联网预留接口满足</w:t>
      </w:r>
    </w:p>
    <w:p w14:paraId="54E0C1D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未来扩展，最终一套设备，即可实现内网、外网、物联网的物理隔离。</w:t>
      </w:r>
    </w:p>
    <w:p w14:paraId="0766A0B6">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由于移动医护业务对无线依赖性非常高，也对内网无线可靠性要求非常高，</w:t>
      </w:r>
    </w:p>
    <w:p w14:paraId="2DCF362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因此本次无线建设应充分考虑无线网的灾备与冗余。</w:t>
      </w:r>
    </w:p>
    <w:p w14:paraId="06B10A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6、内网无线实现零漫游。</w:t>
      </w:r>
    </w:p>
    <w:p w14:paraId="6CB998D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7、满足未来物联网建设需求，通过利用物联网技术，简化医疗流程，实现全过</w:t>
      </w:r>
    </w:p>
    <w:p w14:paraId="72C0AAB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程标准化医疗流程，实现医疗对象自动化、可视化、数字化管理，全面提高医疗安全性和质量。</w:t>
      </w:r>
    </w:p>
    <w:p w14:paraId="3DB5043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服务范围</w:t>
      </w:r>
    </w:p>
    <w:p w14:paraId="5FBFEE81">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b/>
          <w:bCs/>
          <w:color w:val="auto"/>
          <w:kern w:val="0"/>
          <w:sz w:val="24"/>
          <w:szCs w:val="24"/>
          <w:highlight w:val="none"/>
          <w:lang w:val="en-US" w:eastAsia="zh-CN" w:bidi="ar"/>
        </w:rPr>
        <w:t>方案设计：</w:t>
      </w:r>
      <w:r>
        <w:rPr>
          <w:rFonts w:hint="default" w:ascii="宋体" w:hAnsi="宋体" w:eastAsia="宋体" w:cs="宋体"/>
          <w:color w:val="auto"/>
          <w:kern w:val="0"/>
          <w:sz w:val="24"/>
          <w:szCs w:val="24"/>
          <w:highlight w:val="none"/>
          <w:lang w:val="en-US" w:eastAsia="zh-CN" w:bidi="ar"/>
        </w:rPr>
        <w:t>提供符合本院实际情况的无线网络覆盖深化设计方案，方案需充分考虑医院的业务特殊性（如高并发、高移动性、医疗设备干扰规避等），确保覆盖无盲区、信号稳定、无缝漫游。</w:t>
      </w:r>
    </w:p>
    <w:p w14:paraId="605838A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2.</w:t>
      </w:r>
      <w:r>
        <w:rPr>
          <w:rFonts w:hint="default" w:ascii="宋体" w:hAnsi="宋体" w:eastAsia="宋体" w:cs="宋体"/>
          <w:b/>
          <w:bCs/>
          <w:color w:val="auto"/>
          <w:kern w:val="0"/>
          <w:sz w:val="24"/>
          <w:szCs w:val="24"/>
          <w:highlight w:val="none"/>
          <w:lang w:val="en-US" w:eastAsia="zh-CN" w:bidi="ar"/>
        </w:rPr>
        <w:t>设备供应：</w:t>
      </w:r>
      <w:r>
        <w:rPr>
          <w:rFonts w:hint="default" w:ascii="宋体" w:hAnsi="宋体" w:eastAsia="宋体" w:cs="宋体"/>
          <w:color w:val="auto"/>
          <w:kern w:val="0"/>
          <w:sz w:val="24"/>
          <w:szCs w:val="24"/>
          <w:highlight w:val="none"/>
          <w:lang w:val="en-US" w:eastAsia="zh-CN" w:bidi="ar"/>
        </w:rPr>
        <w:t>提供所有无线AP、控制器、交换机、线缆、配套机柜及辅材等，设备需为知名品牌原装新品</w:t>
      </w:r>
      <w:r>
        <w:rPr>
          <w:rFonts w:hint="eastAsia" w:ascii="宋体" w:hAnsi="宋体" w:eastAsia="宋体" w:cs="宋体"/>
          <w:color w:val="auto"/>
          <w:kern w:val="0"/>
          <w:sz w:val="24"/>
          <w:szCs w:val="24"/>
          <w:highlight w:val="none"/>
          <w:lang w:val="en-US" w:eastAsia="zh-CN" w:bidi="ar"/>
        </w:rPr>
        <w:t>，供货前提供原厂出厂证明。</w:t>
      </w:r>
    </w:p>
    <w:p w14:paraId="277CE9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3.</w:t>
      </w:r>
      <w:r>
        <w:rPr>
          <w:rFonts w:hint="default" w:ascii="宋体" w:hAnsi="宋体" w:eastAsia="宋体" w:cs="宋体"/>
          <w:b/>
          <w:bCs/>
          <w:color w:val="auto"/>
          <w:kern w:val="0"/>
          <w:sz w:val="24"/>
          <w:szCs w:val="24"/>
          <w:highlight w:val="none"/>
          <w:lang w:val="en-US" w:eastAsia="zh-CN" w:bidi="ar"/>
        </w:rPr>
        <w:t>安装调试：</w:t>
      </w:r>
      <w:r>
        <w:rPr>
          <w:rFonts w:hint="default" w:ascii="宋体" w:hAnsi="宋体" w:eastAsia="宋体" w:cs="宋体"/>
          <w:color w:val="auto"/>
          <w:kern w:val="0"/>
          <w:sz w:val="24"/>
          <w:szCs w:val="24"/>
          <w:highlight w:val="none"/>
          <w:lang w:val="en-US" w:eastAsia="zh-CN" w:bidi="ar"/>
        </w:rPr>
        <w:t>完成所有设备的到货验收、安装、综合布线、系统集成及全网调试.项目完成后，需提交完整的竣工图纸及技术文档。</w:t>
      </w:r>
    </w:p>
    <w:p w14:paraId="505D26B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4.</w:t>
      </w:r>
      <w:r>
        <w:rPr>
          <w:rFonts w:hint="default" w:ascii="宋体" w:hAnsi="宋体" w:eastAsia="宋体" w:cs="宋体"/>
          <w:b/>
          <w:bCs/>
          <w:color w:val="auto"/>
          <w:kern w:val="0"/>
          <w:sz w:val="24"/>
          <w:szCs w:val="24"/>
          <w:highlight w:val="none"/>
          <w:lang w:val="en-US" w:eastAsia="zh-CN" w:bidi="ar"/>
        </w:rPr>
        <w:t>运维服务：</w:t>
      </w:r>
      <w:r>
        <w:rPr>
          <w:rFonts w:hint="default" w:ascii="宋体" w:hAnsi="宋体" w:eastAsia="宋体" w:cs="宋体"/>
          <w:color w:val="auto"/>
          <w:kern w:val="0"/>
          <w:sz w:val="24"/>
          <w:szCs w:val="24"/>
          <w:highlight w:val="none"/>
          <w:lang w:val="en-US" w:eastAsia="zh-CN" w:bidi="ar"/>
        </w:rPr>
        <w:t>提供至少[3]年的免费运维服务：包括7x24小时监控、故障响应、定期现场巡检（每季度一次）并提交巡检报告、系统性能优化及必要的软件版本升级。</w:t>
      </w:r>
    </w:p>
    <w:p w14:paraId="29B7E6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5.</w:t>
      </w:r>
      <w:r>
        <w:rPr>
          <w:rFonts w:hint="default" w:ascii="宋体" w:hAnsi="宋体" w:eastAsia="宋体" w:cs="宋体"/>
          <w:b/>
          <w:bCs/>
          <w:color w:val="auto"/>
          <w:kern w:val="0"/>
          <w:sz w:val="24"/>
          <w:szCs w:val="24"/>
          <w:highlight w:val="none"/>
          <w:lang w:val="en-US" w:eastAsia="zh-CN" w:bidi="ar"/>
        </w:rPr>
        <w:t>技术培训：</w:t>
      </w:r>
      <w:r>
        <w:rPr>
          <w:rFonts w:hint="default" w:ascii="宋体" w:hAnsi="宋体" w:eastAsia="宋体" w:cs="宋体"/>
          <w:color w:val="auto"/>
          <w:kern w:val="0"/>
          <w:sz w:val="24"/>
          <w:szCs w:val="24"/>
          <w:highlight w:val="none"/>
          <w:lang w:val="en-US" w:eastAsia="zh-CN" w:bidi="ar"/>
        </w:rPr>
        <w:t>为医院相关人员提供</w:t>
      </w:r>
      <w:r>
        <w:rPr>
          <w:rFonts w:hint="eastAsia" w:ascii="宋体" w:hAnsi="宋体" w:eastAsia="宋体" w:cs="宋体"/>
          <w:color w:val="auto"/>
          <w:kern w:val="0"/>
          <w:sz w:val="24"/>
          <w:szCs w:val="24"/>
          <w:highlight w:val="none"/>
          <w:lang w:val="en-US" w:eastAsia="zh-CN" w:bidi="ar"/>
        </w:rPr>
        <w:t>不少于3次</w:t>
      </w:r>
      <w:r>
        <w:rPr>
          <w:rFonts w:hint="default" w:ascii="宋体" w:hAnsi="宋体" w:eastAsia="宋体" w:cs="宋体"/>
          <w:color w:val="auto"/>
          <w:kern w:val="0"/>
          <w:sz w:val="24"/>
          <w:szCs w:val="24"/>
          <w:highlight w:val="none"/>
          <w:lang w:val="en-US" w:eastAsia="zh-CN" w:bidi="ar"/>
        </w:rPr>
        <w:t>必要的操作培训。</w:t>
      </w:r>
    </w:p>
    <w:p w14:paraId="5F3FF5B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6.其他：</w:t>
      </w:r>
      <w:r>
        <w:rPr>
          <w:rFonts w:hint="default" w:ascii="宋体" w:hAnsi="宋体" w:eastAsia="宋体" w:cs="宋体"/>
          <w:color w:val="auto"/>
          <w:kern w:val="0"/>
          <w:sz w:val="24"/>
          <w:szCs w:val="24"/>
          <w:highlight w:val="none"/>
          <w:lang w:val="en-US" w:eastAsia="zh-CN" w:bidi="ar"/>
        </w:rPr>
        <w:t>符合</w:t>
      </w:r>
      <w:r>
        <w:rPr>
          <w:rFonts w:hint="eastAsia" w:ascii="宋体" w:hAnsi="宋体" w:eastAsia="宋体" w:cs="宋体"/>
          <w:color w:val="auto"/>
          <w:kern w:val="0"/>
          <w:sz w:val="24"/>
          <w:szCs w:val="24"/>
          <w:highlight w:val="none"/>
          <w:lang w:val="en-US" w:eastAsia="zh-CN" w:bidi="ar"/>
        </w:rPr>
        <w:t>现行</w:t>
      </w:r>
      <w:r>
        <w:rPr>
          <w:rFonts w:hint="default" w:ascii="宋体" w:hAnsi="宋体" w:eastAsia="宋体" w:cs="宋体"/>
          <w:color w:val="auto"/>
          <w:kern w:val="0"/>
          <w:sz w:val="24"/>
          <w:szCs w:val="24"/>
          <w:highlight w:val="none"/>
          <w:lang w:val="en-US" w:eastAsia="zh-CN" w:bidi="ar"/>
        </w:rPr>
        <w:t>IEEE 802.11a/b/g/n/ac/ax</w:t>
      </w:r>
      <w:r>
        <w:rPr>
          <w:rFonts w:hint="eastAsia" w:ascii="宋体" w:hAnsi="宋体" w:eastAsia="宋体" w:cs="宋体"/>
          <w:color w:val="auto"/>
          <w:kern w:val="0"/>
          <w:sz w:val="24"/>
          <w:szCs w:val="24"/>
          <w:highlight w:val="none"/>
          <w:lang w:val="en-US" w:eastAsia="zh-CN" w:bidi="ar"/>
        </w:rPr>
        <w:t>/be</w:t>
      </w:r>
      <w:r>
        <w:rPr>
          <w:rFonts w:hint="default" w:ascii="宋体" w:hAnsi="宋体" w:eastAsia="宋体" w:cs="宋体"/>
          <w:color w:val="auto"/>
          <w:kern w:val="0"/>
          <w:sz w:val="24"/>
          <w:szCs w:val="24"/>
          <w:highlight w:val="none"/>
          <w:lang w:val="en-US" w:eastAsia="zh-CN" w:bidi="ar"/>
        </w:rPr>
        <w:t>等无线局域网国际标准。符合国家及行业关于医疗卫生机构网络建设的相关标准和规范。</w:t>
      </w:r>
    </w:p>
    <w:p w14:paraId="441AE8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四、无线要求</w:t>
      </w:r>
    </w:p>
    <w:p w14:paraId="0C6955C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1.1</w:t>
      </w:r>
      <w:r>
        <w:rPr>
          <w:rFonts w:hint="default" w:ascii="宋体" w:hAnsi="宋体" w:eastAsia="宋体" w:cs="宋体"/>
          <w:b/>
          <w:bCs/>
          <w:color w:val="auto"/>
          <w:kern w:val="0"/>
          <w:sz w:val="24"/>
          <w:szCs w:val="24"/>
          <w:highlight w:val="none"/>
          <w:lang w:val="en-US" w:eastAsia="zh-CN" w:bidi="ar"/>
        </w:rPr>
        <w:t xml:space="preserve"> 无线网络性能要求</w:t>
      </w:r>
    </w:p>
    <w:p w14:paraId="6EB12993">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覆盖范围：实现全院95%以上区域信号强度≥-65dBm。</w:t>
      </w:r>
    </w:p>
    <w:p w14:paraId="2CAA62D2">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漫游切换：</w:t>
      </w:r>
      <w:r>
        <w:rPr>
          <w:rFonts w:hint="eastAsia" w:ascii="宋体" w:hAnsi="宋体" w:eastAsia="宋体" w:cs="宋体"/>
          <w:color w:val="auto"/>
          <w:kern w:val="0"/>
          <w:sz w:val="24"/>
          <w:szCs w:val="24"/>
          <w:highlight w:val="none"/>
          <w:lang w:val="en-US" w:eastAsia="zh-CN" w:bidi="ar"/>
        </w:rPr>
        <w:t>启用</w:t>
      </w:r>
      <w:r>
        <w:rPr>
          <w:rFonts w:hint="default" w:ascii="宋体" w:hAnsi="宋体" w:eastAsia="宋体" w:cs="宋体"/>
          <w:color w:val="auto"/>
          <w:kern w:val="0"/>
          <w:sz w:val="24"/>
          <w:szCs w:val="24"/>
          <w:highlight w:val="none"/>
          <w:lang w:val="en-US" w:eastAsia="zh-CN" w:bidi="ar"/>
        </w:rPr>
        <w:t>802.11k/v/r协议，实现用户在不同AP间无缝、无感知漫游。</w:t>
      </w:r>
    </w:p>
    <w:p w14:paraId="7E89B99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并发用户数：整网支持不少于</w:t>
      </w:r>
      <w:r>
        <w:rPr>
          <w:rFonts w:hint="eastAsia" w:ascii="宋体" w:hAnsi="宋体" w:eastAsia="宋体" w:cs="宋体"/>
          <w:color w:val="auto"/>
          <w:kern w:val="0"/>
          <w:sz w:val="24"/>
          <w:szCs w:val="24"/>
          <w:highlight w:val="none"/>
          <w:lang w:val="en-US" w:eastAsia="zh-CN" w:bidi="ar"/>
        </w:rPr>
        <w:t>3</w:t>
      </w:r>
      <w:r>
        <w:rPr>
          <w:rFonts w:hint="default" w:ascii="宋体" w:hAnsi="宋体" w:eastAsia="宋体" w:cs="宋体"/>
          <w:color w:val="auto"/>
          <w:kern w:val="0"/>
          <w:sz w:val="24"/>
          <w:szCs w:val="24"/>
          <w:highlight w:val="none"/>
          <w:lang w:val="en-US" w:eastAsia="zh-CN" w:bidi="ar"/>
        </w:rPr>
        <w:t>000个用户并发接入。</w:t>
      </w:r>
    </w:p>
    <w:p w14:paraId="3082D12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网络带宽：核心链路需具备万兆及以上扩展能力。</w:t>
      </w:r>
    </w:p>
    <w:p w14:paraId="32B130F4">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可靠性：核心设备及链路需有冗余备份，支持设备、链路故障时的自动切换，系统整体可用性不低于99.9%。</w:t>
      </w:r>
    </w:p>
    <w:p w14:paraId="1790CE5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1.2</w:t>
      </w:r>
      <w:r>
        <w:rPr>
          <w:rFonts w:hint="default" w:ascii="宋体" w:hAnsi="宋体" w:eastAsia="宋体" w:cs="宋体"/>
          <w:b/>
          <w:bCs/>
          <w:color w:val="auto"/>
          <w:kern w:val="0"/>
          <w:sz w:val="24"/>
          <w:szCs w:val="24"/>
          <w:highlight w:val="none"/>
          <w:lang w:val="en-US" w:eastAsia="zh-CN" w:bidi="ar"/>
        </w:rPr>
        <w:t xml:space="preserve"> 无线网络安全要求</w:t>
      </w:r>
    </w:p>
    <w:p w14:paraId="54C4B5C8">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接入认证：</w:t>
      </w:r>
      <w:r>
        <w:rPr>
          <w:rFonts w:hint="eastAsia" w:ascii="宋体" w:hAnsi="宋体" w:eastAsia="宋体" w:cs="宋体"/>
          <w:color w:val="auto"/>
          <w:kern w:val="0"/>
          <w:sz w:val="24"/>
          <w:szCs w:val="24"/>
          <w:highlight w:val="none"/>
          <w:lang w:val="en-US" w:eastAsia="zh-CN" w:bidi="ar"/>
        </w:rPr>
        <w:t>实现</w:t>
      </w:r>
      <w:r>
        <w:rPr>
          <w:rFonts w:hint="default" w:ascii="宋体" w:hAnsi="宋体" w:eastAsia="宋体" w:cs="宋体"/>
          <w:color w:val="auto"/>
          <w:kern w:val="0"/>
          <w:sz w:val="24"/>
          <w:szCs w:val="24"/>
          <w:highlight w:val="none"/>
          <w:lang w:val="en-US" w:eastAsia="zh-CN" w:bidi="ar"/>
        </w:rPr>
        <w:t>多种认证方式（如802.1X、Portal、MAC等），对不同用户（医护、患者、访客、物联网设备）实现分权分域管理。</w:t>
      </w:r>
    </w:p>
    <w:p w14:paraId="3A1167BD">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数据加密：</w:t>
      </w:r>
      <w:r>
        <w:rPr>
          <w:rFonts w:hint="eastAsia" w:ascii="宋体" w:hAnsi="宋体" w:eastAsia="宋体" w:cs="宋体"/>
          <w:color w:val="auto"/>
          <w:kern w:val="0"/>
          <w:sz w:val="24"/>
          <w:szCs w:val="24"/>
          <w:highlight w:val="none"/>
          <w:lang w:val="en-US" w:eastAsia="zh-CN" w:bidi="ar"/>
        </w:rPr>
        <w:t>满足</w:t>
      </w:r>
      <w:r>
        <w:rPr>
          <w:rFonts w:hint="default" w:ascii="宋体" w:hAnsi="宋体" w:eastAsia="宋体" w:cs="宋体"/>
          <w:color w:val="auto"/>
          <w:kern w:val="0"/>
          <w:sz w:val="24"/>
          <w:szCs w:val="24"/>
          <w:highlight w:val="none"/>
          <w:lang w:val="en-US" w:eastAsia="zh-CN" w:bidi="ar"/>
        </w:rPr>
        <w:t>WPA3、WPA2-Enterprise等高强度加密方式。</w:t>
      </w:r>
    </w:p>
    <w:p w14:paraId="2968DA8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安全隔离：必须实现多SSID，并能通过VLAN对不同业务网络进行逻辑隔离，确保医疗内网数据安全。</w:t>
      </w:r>
    </w:p>
    <w:p w14:paraId="6B57CF0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行为审计：具备完整的网络日志记录和用户上网行为审计功能，日志留存时间需符合国家《网络安全法》及相关监管部门的要求，支持安全事件追溯与定责。</w:t>
      </w:r>
    </w:p>
    <w:p w14:paraId="7E8255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1.3</w:t>
      </w:r>
      <w:r>
        <w:rPr>
          <w:rFonts w:hint="default" w:ascii="宋体" w:hAnsi="宋体" w:eastAsia="宋体" w:cs="宋体"/>
          <w:b/>
          <w:bCs/>
          <w:color w:val="auto"/>
          <w:kern w:val="0"/>
          <w:sz w:val="24"/>
          <w:szCs w:val="24"/>
          <w:highlight w:val="none"/>
          <w:lang w:val="en-US" w:eastAsia="zh-CN" w:bidi="ar"/>
        </w:rPr>
        <w:t xml:space="preserve"> 网络管理要求</w:t>
      </w:r>
    </w:p>
    <w:p w14:paraId="4DF2794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提供统一的网络管理平台，实现对所有无线设备的可视化集中管理、拓扑发现、批量配置、监控、软件升级和故障告警。支持对网络性能、用户行为、流量等进行分析和报表生成。</w:t>
      </w:r>
    </w:p>
    <w:p w14:paraId="0612931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五、服务要求</w:t>
      </w:r>
    </w:p>
    <w:p w14:paraId="732017F1">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8"/>
          <w:kern w:val="2"/>
          <w:sz w:val="24"/>
          <w:szCs w:val="24"/>
          <w:highlight w:val="none"/>
          <w:lang w:val="en-US" w:eastAsia="en-US" w:bidi="ar-SA"/>
        </w:rPr>
        <w:t>1.覆盖要求</w:t>
      </w:r>
    </w:p>
    <w:p w14:paraId="5F79B3BC">
      <w:pPr>
        <w:keepNext w:val="0"/>
        <w:keepLines w:val="0"/>
        <w:pageBreakBefore w:val="0"/>
        <w:widowControl/>
        <w:kinsoku/>
        <w:wordWrap/>
        <w:overflowPunct/>
        <w:topLinePunct w:val="0"/>
        <w:autoSpaceDE/>
        <w:autoSpaceDN/>
        <w:bidi w:val="0"/>
        <w:adjustRightInd/>
        <w:snapToGrid/>
        <w:spacing w:line="360" w:lineRule="auto"/>
        <w:ind w:left="0" w:right="0" w:firstLine="479" w:firstLineChars="205"/>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en-US" w:bidi="ar-SA"/>
        </w:rPr>
        <w:t>1.1</w:t>
      </w:r>
      <w:r>
        <w:rPr>
          <w:rFonts w:hint="eastAsia" w:ascii="宋体" w:hAnsi="宋体" w:eastAsia="宋体" w:cs="宋体"/>
          <w:color w:val="auto"/>
          <w:spacing w:val="-37"/>
          <w:kern w:val="2"/>
          <w:sz w:val="24"/>
          <w:szCs w:val="24"/>
          <w:highlight w:val="none"/>
          <w:lang w:val="en-US" w:eastAsia="en-US" w:bidi="ar-SA"/>
        </w:rPr>
        <w:t xml:space="preserve"> </w:t>
      </w:r>
      <w:r>
        <w:rPr>
          <w:rFonts w:hint="eastAsia" w:ascii="宋体" w:hAnsi="宋体" w:eastAsia="宋体" w:cs="宋体"/>
          <w:color w:val="auto"/>
          <w:spacing w:val="-3"/>
          <w:kern w:val="2"/>
          <w:sz w:val="24"/>
          <w:szCs w:val="24"/>
          <w:highlight w:val="none"/>
          <w:lang w:val="en-US" w:eastAsia="zh-CN" w:bidi="ar-SA"/>
        </w:rPr>
        <w:t>无线覆盖：确保</w:t>
      </w:r>
      <w:r>
        <w:rPr>
          <w:rFonts w:hint="eastAsia" w:ascii="宋体" w:hAnsi="宋体" w:eastAsia="宋体" w:cs="宋体"/>
          <w:color w:val="auto"/>
          <w:kern w:val="0"/>
          <w:sz w:val="24"/>
          <w:szCs w:val="24"/>
          <w:highlight w:val="none"/>
          <w:lang w:val="en-US" w:eastAsia="zh-CN" w:bidi="ar"/>
        </w:rPr>
        <w:t>门诊大楼、住院大楼、传染病区、后勤楼、放疗中心、120急救中心、体检中心</w:t>
      </w:r>
      <w:r>
        <w:rPr>
          <w:rFonts w:hint="eastAsia" w:ascii="宋体" w:hAnsi="宋体" w:cs="宋体"/>
          <w:color w:val="auto"/>
          <w:kern w:val="0"/>
          <w:sz w:val="24"/>
          <w:szCs w:val="24"/>
          <w:highlight w:val="none"/>
          <w:lang w:val="en-US" w:eastAsia="zh-CN" w:bidi="ar"/>
        </w:rPr>
        <w:t>（机关门诊）</w:t>
      </w:r>
      <w:r>
        <w:rPr>
          <w:rFonts w:hint="eastAsia" w:ascii="宋体" w:hAnsi="宋体" w:eastAsia="宋体" w:cs="宋体"/>
          <w:color w:val="auto"/>
          <w:kern w:val="0"/>
          <w:sz w:val="24"/>
          <w:szCs w:val="24"/>
          <w:highlight w:val="none"/>
          <w:lang w:val="en-US" w:eastAsia="zh-CN" w:bidi="ar"/>
        </w:rPr>
        <w:t>、保卫室</w:t>
      </w:r>
      <w:r>
        <w:rPr>
          <w:rFonts w:hint="eastAsia" w:ascii="宋体" w:hAnsi="宋体" w:eastAsia="宋体" w:cs="宋体"/>
          <w:color w:val="auto"/>
          <w:spacing w:val="-1"/>
          <w:kern w:val="2"/>
          <w:sz w:val="24"/>
          <w:szCs w:val="24"/>
          <w:highlight w:val="none"/>
          <w:lang w:val="en-US" w:eastAsia="en-US" w:bidi="ar-SA"/>
        </w:rPr>
        <w:t>等</w:t>
      </w:r>
      <w:r>
        <w:rPr>
          <w:rFonts w:hint="eastAsia" w:ascii="宋体" w:hAnsi="宋体" w:eastAsia="宋体" w:cs="宋体"/>
          <w:color w:val="auto"/>
          <w:spacing w:val="-1"/>
          <w:kern w:val="2"/>
          <w:sz w:val="24"/>
          <w:szCs w:val="24"/>
          <w:highlight w:val="none"/>
          <w:lang w:val="en-US" w:eastAsia="zh-CN" w:bidi="ar-SA"/>
        </w:rPr>
        <w:t>区域网络覆盖</w:t>
      </w:r>
      <w:r>
        <w:rPr>
          <w:rFonts w:hint="eastAsia" w:ascii="宋体" w:hAnsi="宋体" w:eastAsia="宋体" w:cs="宋体"/>
          <w:color w:val="auto"/>
          <w:spacing w:val="-1"/>
          <w:kern w:val="2"/>
          <w:sz w:val="24"/>
          <w:szCs w:val="24"/>
          <w:highlight w:val="none"/>
          <w:lang w:val="en-US" w:eastAsia="en-US" w:bidi="ar-SA"/>
        </w:rPr>
        <w:t>。WLAN信号医疗区域全覆盖，无死角，支持无缝漫游，漫游切换延迟≤50ms，丢包率≤1%，关键区域（如急诊室、手术室）需优先保障带宽≥200Mbps</w:t>
      </w:r>
      <w:r>
        <w:rPr>
          <w:rFonts w:hint="eastAsia" w:ascii="宋体" w:hAnsi="宋体" w:eastAsia="宋体" w:cs="宋体"/>
          <w:color w:val="auto"/>
          <w:spacing w:val="-1"/>
          <w:kern w:val="2"/>
          <w:sz w:val="24"/>
          <w:szCs w:val="24"/>
          <w:highlight w:val="none"/>
          <w:lang w:val="en-US" w:eastAsia="zh-CN" w:bidi="ar-SA"/>
        </w:rPr>
        <w:t>了。其中手术室手术间内需要确保“有线(监护仪)+无线(笔记本、平板)”都可以正常使用。</w:t>
      </w:r>
    </w:p>
    <w:p w14:paraId="2BAB11BF">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1.2信号强度：在各个区域内，信号强度应不低于-65dBm（毫瓦分贝），以确保良好的通信质量，支持无缝漫游，漫游切换延迟≤50ms，丢包率≤1%，关键区域（如急诊室、手术室）需优先保障带宽≥200Mbps。公共区域互联网无线应满足3000人同时在线并发。</w:t>
      </w:r>
    </w:p>
    <w:p w14:paraId="38F68B37">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1.3无线网络包含互联网和医院内网，无线互联网用户采用短信实名认证方式接入，系统应能验证手机号码的有效性并记录关联身份信息；无线设备接入医院内网采用隐藏SSID密码访问方式。</w:t>
      </w:r>
    </w:p>
    <w:p w14:paraId="0CF491AF">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1.4</w:t>
      </w:r>
      <w:r>
        <w:rPr>
          <w:rFonts w:hint="eastAsia" w:ascii="宋体" w:hAnsi="宋体" w:cs="宋体"/>
          <w:color w:val="auto"/>
          <w:kern w:val="0"/>
          <w:sz w:val="24"/>
          <w:szCs w:val="24"/>
          <w:highlight w:val="none"/>
          <w:lang w:val="en-US" w:eastAsia="zh-CN" w:bidi="ar"/>
        </w:rPr>
        <w:t>提供</w:t>
      </w:r>
      <w:r>
        <w:rPr>
          <w:rFonts w:hint="eastAsia" w:ascii="宋体" w:hAnsi="宋体" w:eastAsia="宋体" w:cs="宋体"/>
          <w:color w:val="auto"/>
          <w:kern w:val="0"/>
          <w:sz w:val="24"/>
          <w:szCs w:val="24"/>
          <w:highlight w:val="none"/>
          <w:lang w:val="en-US" w:eastAsia="zh-CN" w:bidi="ar"/>
        </w:rPr>
        <w:t>满足短信认证的短信服务。</w:t>
      </w:r>
    </w:p>
    <w:p w14:paraId="5ADA7F31">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1.5提供主、备异网各10G出口互联网出口带宽，并实现自动或手动的冗余切换。</w:t>
      </w:r>
    </w:p>
    <w:p w14:paraId="4EC23706">
      <w:pPr>
        <w:keepNext w:val="0"/>
        <w:keepLines w:val="0"/>
        <w:pageBreakBefore w:val="0"/>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2.服务可用性</w:t>
      </w:r>
    </w:p>
    <w:p w14:paraId="00AE939E">
      <w:pPr>
        <w:keepNext w:val="0"/>
        <w:keepLines w:val="0"/>
        <w:pageBreakBefore w:val="0"/>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kern w:val="2"/>
          <w:sz w:val="24"/>
          <w:szCs w:val="24"/>
          <w:highlight w:val="none"/>
          <w:lang w:val="en-US" w:eastAsia="en-US" w:bidi="ar-SA"/>
        </w:rPr>
        <w:t>2.1全天候支持：提供</w:t>
      </w:r>
      <w:r>
        <w:rPr>
          <w:rFonts w:hint="eastAsia" w:ascii="宋体" w:hAnsi="宋体" w:eastAsia="宋体" w:cs="宋体"/>
          <w:color w:val="auto"/>
          <w:spacing w:val="-25"/>
          <w:kern w:val="2"/>
          <w:sz w:val="24"/>
          <w:szCs w:val="24"/>
          <w:highlight w:val="none"/>
          <w:lang w:val="en-US" w:eastAsia="en-US" w:bidi="ar-SA"/>
        </w:rPr>
        <w:t xml:space="preserve"> </w:t>
      </w:r>
      <w:r>
        <w:rPr>
          <w:rFonts w:hint="eastAsia" w:ascii="宋体" w:hAnsi="宋体" w:eastAsia="宋体" w:cs="宋体"/>
          <w:color w:val="auto"/>
          <w:kern w:val="2"/>
          <w:sz w:val="24"/>
          <w:szCs w:val="24"/>
          <w:highlight w:val="none"/>
          <w:lang w:val="en-US" w:eastAsia="en-US" w:bidi="ar-SA"/>
        </w:rPr>
        <w:t>7</w:t>
      </w:r>
      <w:r>
        <w:rPr>
          <w:rFonts w:hint="eastAsia" w:ascii="宋体" w:hAnsi="宋体" w:eastAsia="宋体" w:cs="宋体"/>
          <w:color w:val="auto"/>
          <w:spacing w:val="-43"/>
          <w:kern w:val="2"/>
          <w:sz w:val="24"/>
          <w:szCs w:val="24"/>
          <w:highlight w:val="none"/>
          <w:lang w:val="en-US" w:eastAsia="en-US" w:bidi="ar-SA"/>
        </w:rPr>
        <w:t xml:space="preserve"> </w:t>
      </w:r>
      <w:r>
        <w:rPr>
          <w:rFonts w:hint="eastAsia" w:ascii="宋体" w:hAnsi="宋体" w:eastAsia="宋体" w:cs="宋体"/>
          <w:color w:val="auto"/>
          <w:kern w:val="2"/>
          <w:sz w:val="24"/>
          <w:szCs w:val="24"/>
          <w:highlight w:val="none"/>
          <w:lang w:val="en-US" w:eastAsia="en-US" w:bidi="ar-SA"/>
        </w:rPr>
        <w:t>天×24</w:t>
      </w:r>
      <w:r>
        <w:rPr>
          <w:rFonts w:hint="eastAsia" w:ascii="宋体" w:hAnsi="宋体" w:eastAsia="宋体" w:cs="宋体"/>
          <w:color w:val="auto"/>
          <w:spacing w:val="-42"/>
          <w:kern w:val="2"/>
          <w:sz w:val="24"/>
          <w:szCs w:val="24"/>
          <w:highlight w:val="none"/>
          <w:lang w:val="en-US" w:eastAsia="en-US" w:bidi="ar-SA"/>
        </w:rPr>
        <w:t xml:space="preserve"> </w:t>
      </w:r>
      <w:r>
        <w:rPr>
          <w:rFonts w:hint="eastAsia" w:ascii="宋体" w:hAnsi="宋体" w:eastAsia="宋体" w:cs="宋体"/>
          <w:color w:val="auto"/>
          <w:kern w:val="2"/>
          <w:sz w:val="24"/>
          <w:szCs w:val="24"/>
          <w:highlight w:val="none"/>
          <w:lang w:val="en-US" w:eastAsia="en-US" w:bidi="ar-SA"/>
        </w:rPr>
        <w:t xml:space="preserve">小时的不间断技术支持服务，确保在任何时间 </w:t>
      </w:r>
      <w:r>
        <w:rPr>
          <w:rFonts w:hint="eastAsia" w:ascii="宋体" w:hAnsi="宋体" w:eastAsia="宋体" w:cs="宋体"/>
          <w:color w:val="auto"/>
          <w:spacing w:val="-2"/>
          <w:kern w:val="2"/>
          <w:sz w:val="24"/>
          <w:szCs w:val="24"/>
          <w:highlight w:val="none"/>
          <w:lang w:val="en-US" w:eastAsia="en-US" w:bidi="ar-SA"/>
        </w:rPr>
        <w:t>点都能对突发情况进行快速响应。</w:t>
      </w:r>
    </w:p>
    <w:p w14:paraId="0826FD38">
      <w:pPr>
        <w:keepNext w:val="0"/>
        <w:keepLines w:val="0"/>
        <w:pageBreakBefore w:val="0"/>
        <w:kinsoku/>
        <w:wordWrap/>
        <w:overflowPunct/>
        <w:topLinePunct w:val="0"/>
        <w:autoSpaceDE/>
        <w:autoSpaceDN/>
        <w:bidi w:val="0"/>
        <w:adjustRightInd/>
        <w:snapToGrid/>
        <w:spacing w:line="360" w:lineRule="auto"/>
        <w:ind w:left="0" w:right="0" w:firstLine="468"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2.2高峰时段加强：在</w:t>
      </w:r>
      <w:r>
        <w:rPr>
          <w:rFonts w:hint="eastAsia" w:ascii="宋体" w:hAnsi="宋体" w:eastAsia="宋体" w:cs="宋体"/>
          <w:color w:val="auto"/>
          <w:spacing w:val="-3"/>
          <w:kern w:val="2"/>
          <w:sz w:val="24"/>
          <w:szCs w:val="24"/>
          <w:highlight w:val="none"/>
          <w:lang w:val="en-US" w:eastAsia="zh-CN" w:bidi="ar-SA"/>
        </w:rPr>
        <w:t>诊疗</w:t>
      </w:r>
      <w:r>
        <w:rPr>
          <w:rFonts w:hint="eastAsia" w:ascii="宋体" w:hAnsi="宋体" w:eastAsia="宋体" w:cs="宋体"/>
          <w:color w:val="auto"/>
          <w:spacing w:val="-3"/>
          <w:kern w:val="2"/>
          <w:sz w:val="24"/>
          <w:szCs w:val="24"/>
          <w:highlight w:val="none"/>
          <w:lang w:val="en-US" w:eastAsia="en-US" w:bidi="ar-SA"/>
        </w:rPr>
        <w:t>高峰时段和病房区域查房时间等关</w:t>
      </w:r>
      <w:r>
        <w:rPr>
          <w:rFonts w:hint="eastAsia" w:ascii="宋体" w:hAnsi="宋体" w:eastAsia="宋体" w:cs="宋体"/>
          <w:color w:val="auto"/>
          <w:spacing w:val="-1"/>
          <w:kern w:val="2"/>
          <w:sz w:val="24"/>
          <w:szCs w:val="24"/>
          <w:highlight w:val="none"/>
          <w:lang w:val="en-US" w:eastAsia="en-US" w:bidi="ar-SA"/>
        </w:rPr>
        <w:t>键时段，增加技术支持人员，确保网络的稳定性和响应速度。</w:t>
      </w:r>
    </w:p>
    <w:p w14:paraId="37E92C1A">
      <w:pPr>
        <w:keepNext w:val="0"/>
        <w:keepLines w:val="0"/>
        <w:pageBreakBefore w:val="0"/>
        <w:kinsoku/>
        <w:wordWrap/>
        <w:overflowPunct/>
        <w:topLinePunct w:val="0"/>
        <w:autoSpaceDE/>
        <w:autoSpaceDN/>
        <w:bidi w:val="0"/>
        <w:adjustRightInd/>
        <w:snapToGrid/>
        <w:spacing w:line="360" w:lineRule="auto"/>
        <w:ind w:left="0" w:right="0" w:firstLine="468"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2.3节假日安排：在国家法定节假日和医院特殊活动期间，提前制定详细的值班</w:t>
      </w:r>
      <w:r>
        <w:rPr>
          <w:rFonts w:hint="eastAsia" w:ascii="宋体" w:hAnsi="宋体" w:eastAsia="宋体" w:cs="宋体"/>
          <w:color w:val="auto"/>
          <w:spacing w:val="4"/>
          <w:kern w:val="2"/>
          <w:sz w:val="24"/>
          <w:szCs w:val="24"/>
          <w:highlight w:val="none"/>
          <w:lang w:val="en-US" w:eastAsia="en-US" w:bidi="ar-SA"/>
        </w:rPr>
        <w:t xml:space="preserve"> </w:t>
      </w:r>
      <w:r>
        <w:rPr>
          <w:rFonts w:hint="eastAsia" w:ascii="宋体" w:hAnsi="宋体" w:eastAsia="宋体" w:cs="宋体"/>
          <w:color w:val="auto"/>
          <w:spacing w:val="-1"/>
          <w:kern w:val="2"/>
          <w:sz w:val="24"/>
          <w:szCs w:val="24"/>
          <w:highlight w:val="none"/>
          <w:lang w:val="en-US" w:eastAsia="en-US" w:bidi="ar-SA"/>
        </w:rPr>
        <w:t>计划，确保服务的连续性和稳定性。</w:t>
      </w:r>
    </w:p>
    <w:p w14:paraId="053187ED">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8"/>
          <w:kern w:val="2"/>
          <w:sz w:val="24"/>
          <w:szCs w:val="24"/>
          <w:highlight w:val="none"/>
          <w:lang w:val="en-US" w:eastAsia="en-US" w:bidi="ar-SA"/>
        </w:rPr>
        <w:t>3.响应时间</w:t>
      </w:r>
    </w:p>
    <w:p w14:paraId="1C99E24C">
      <w:pPr>
        <w:keepNext w:val="0"/>
        <w:keepLines w:val="0"/>
        <w:pageBreakBefore w:val="0"/>
        <w:kinsoku/>
        <w:wordWrap/>
        <w:overflowPunct/>
        <w:topLinePunct w:val="0"/>
        <w:autoSpaceDE/>
        <w:autoSpaceDN/>
        <w:bidi w:val="0"/>
        <w:adjustRightInd/>
        <w:snapToGrid/>
        <w:spacing w:line="360" w:lineRule="auto"/>
        <w:ind w:right="0" w:firstLine="472"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2"/>
          <w:kern w:val="2"/>
          <w:sz w:val="24"/>
          <w:szCs w:val="24"/>
          <w:highlight w:val="none"/>
          <w:lang w:val="en-US" w:eastAsia="en-US" w:bidi="ar-SA"/>
        </w:rPr>
        <w:t>3.1即时响应：对于用户的咨询和请求，须在10</w:t>
      </w:r>
      <w:r>
        <w:rPr>
          <w:rFonts w:hint="eastAsia" w:ascii="宋体" w:hAnsi="宋体" w:eastAsia="宋体" w:cs="宋体"/>
          <w:color w:val="auto"/>
          <w:spacing w:val="-48"/>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分钟内做出初步响应。</w:t>
      </w:r>
    </w:p>
    <w:p w14:paraId="7C3C27CD">
      <w:pPr>
        <w:keepNext w:val="0"/>
        <w:keepLines w:val="0"/>
        <w:pageBreakBefore w:val="0"/>
        <w:kinsoku/>
        <w:wordWrap/>
        <w:overflowPunct/>
        <w:topLinePunct w:val="0"/>
        <w:autoSpaceDE/>
        <w:autoSpaceDN/>
        <w:bidi w:val="0"/>
        <w:adjustRightInd/>
        <w:snapToGrid/>
        <w:spacing w:line="360" w:lineRule="auto"/>
        <w:ind w:left="0" w:right="0" w:firstLine="464" w:firstLineChars="200"/>
        <w:jc w:val="left"/>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4"/>
          <w:kern w:val="2"/>
          <w:sz w:val="24"/>
          <w:szCs w:val="24"/>
          <w:highlight w:val="none"/>
          <w:lang w:val="en-US" w:eastAsia="en-US" w:bidi="ar-SA"/>
        </w:rPr>
        <w:t>3.2现场支持：在收到紧急呼叫后，技术人员需在2</w:t>
      </w:r>
      <w:r>
        <w:rPr>
          <w:rFonts w:hint="eastAsia" w:ascii="宋体" w:hAnsi="宋体" w:eastAsia="宋体" w:cs="宋体"/>
          <w:color w:val="auto"/>
          <w:spacing w:val="-44"/>
          <w:kern w:val="2"/>
          <w:sz w:val="24"/>
          <w:szCs w:val="24"/>
          <w:highlight w:val="none"/>
          <w:lang w:val="en-US" w:eastAsia="en-US" w:bidi="ar-SA"/>
        </w:rPr>
        <w:t xml:space="preserve"> </w:t>
      </w:r>
      <w:r>
        <w:rPr>
          <w:rFonts w:hint="eastAsia" w:ascii="宋体" w:hAnsi="宋体" w:eastAsia="宋体" w:cs="宋体"/>
          <w:color w:val="auto"/>
          <w:spacing w:val="-4"/>
          <w:kern w:val="2"/>
          <w:sz w:val="24"/>
          <w:szCs w:val="24"/>
          <w:highlight w:val="none"/>
          <w:lang w:val="en-US" w:eastAsia="en-US" w:bidi="ar-SA"/>
        </w:rPr>
        <w:t>小时内到达现场进行诊断和</w:t>
      </w:r>
      <w:r>
        <w:rPr>
          <w:rFonts w:hint="eastAsia" w:ascii="宋体" w:hAnsi="宋体" w:eastAsia="宋体" w:cs="宋体"/>
          <w:color w:val="auto"/>
          <w:spacing w:val="-1"/>
          <w:kern w:val="2"/>
          <w:sz w:val="24"/>
          <w:szCs w:val="24"/>
          <w:highlight w:val="none"/>
          <w:lang w:val="en-US" w:eastAsia="en-US" w:bidi="ar-SA"/>
        </w:rPr>
        <w:t>处理，确保问题能够得到及时解决。</w:t>
      </w:r>
    </w:p>
    <w:p w14:paraId="7D3E6FD6">
      <w:pPr>
        <w:keepNext w:val="0"/>
        <w:keepLines w:val="0"/>
        <w:pageBreakBefore w:val="0"/>
        <w:kinsoku/>
        <w:wordWrap/>
        <w:overflowPunct/>
        <w:topLinePunct w:val="0"/>
        <w:autoSpaceDE/>
        <w:autoSpaceDN/>
        <w:bidi w:val="0"/>
        <w:adjustRightInd/>
        <w:snapToGrid/>
        <w:spacing w:line="360" w:lineRule="auto"/>
        <w:ind w:left="0" w:right="0" w:firstLine="472"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2"/>
          <w:kern w:val="2"/>
          <w:sz w:val="24"/>
          <w:szCs w:val="24"/>
          <w:highlight w:val="none"/>
          <w:lang w:val="en-US" w:eastAsia="en-US" w:bidi="ar-SA"/>
        </w:rPr>
        <w:t>3.3远程协助：对于非紧急情况，可以通过远程桌面或其他在线工具提供协助，</w:t>
      </w:r>
      <w:r>
        <w:rPr>
          <w:rFonts w:hint="eastAsia" w:ascii="宋体" w:hAnsi="宋体" w:eastAsia="宋体" w:cs="宋体"/>
          <w:color w:val="auto"/>
          <w:spacing w:val="2"/>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提高服务效率。</w:t>
      </w:r>
    </w:p>
    <w:p w14:paraId="6B3E287A">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4.服务级别协议</w:t>
      </w:r>
    </w:p>
    <w:p w14:paraId="27DAE5DA">
      <w:pPr>
        <w:keepNext w:val="0"/>
        <w:keepLines w:val="0"/>
        <w:pageBreakBefore w:val="0"/>
        <w:kinsoku/>
        <w:wordWrap/>
        <w:overflowPunct/>
        <w:topLinePunct w:val="0"/>
        <w:autoSpaceDE/>
        <w:autoSpaceDN/>
        <w:bidi w:val="0"/>
        <w:adjustRightInd/>
        <w:snapToGrid/>
        <w:spacing w:line="360" w:lineRule="auto"/>
        <w:ind w:left="0" w:right="0" w:firstLine="472"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2"/>
          <w:kern w:val="2"/>
          <w:sz w:val="24"/>
          <w:szCs w:val="24"/>
          <w:highlight w:val="none"/>
          <w:lang w:val="en-US" w:eastAsia="en-US" w:bidi="ar-SA"/>
        </w:rPr>
        <w:t>4.1性能指标：明确无线网络的性能指标，如最大带宽、连接稳定性、延迟等，</w:t>
      </w:r>
      <w:r>
        <w:rPr>
          <w:rFonts w:hint="eastAsia" w:ascii="宋体" w:hAnsi="宋体" w:eastAsia="宋体" w:cs="宋体"/>
          <w:color w:val="auto"/>
          <w:spacing w:val="8"/>
          <w:kern w:val="2"/>
          <w:sz w:val="24"/>
          <w:szCs w:val="24"/>
          <w:highlight w:val="none"/>
          <w:lang w:val="en-US" w:eastAsia="en-US" w:bidi="ar-SA"/>
        </w:rPr>
        <w:t xml:space="preserve"> </w:t>
      </w:r>
      <w:r>
        <w:rPr>
          <w:rFonts w:hint="eastAsia" w:ascii="宋体" w:hAnsi="宋体" w:eastAsia="宋体" w:cs="宋体"/>
          <w:color w:val="auto"/>
          <w:spacing w:val="-1"/>
          <w:kern w:val="2"/>
          <w:sz w:val="24"/>
          <w:szCs w:val="24"/>
          <w:highlight w:val="none"/>
          <w:lang w:val="en-US" w:eastAsia="en-US" w:bidi="ar-SA"/>
        </w:rPr>
        <w:t>并定期进行测试和优化，确保网络质量符合标准</w:t>
      </w:r>
      <w:r>
        <w:rPr>
          <w:rFonts w:hint="eastAsia" w:ascii="宋体" w:hAnsi="宋体" w:eastAsia="宋体" w:cs="宋体"/>
          <w:color w:val="auto"/>
          <w:spacing w:val="-1"/>
          <w:kern w:val="2"/>
          <w:sz w:val="24"/>
          <w:szCs w:val="24"/>
          <w:highlight w:val="none"/>
          <w:lang w:val="en-US" w:eastAsia="zh-CN" w:bidi="ar-SA"/>
        </w:rPr>
        <w:t>，无线网络下行带宽≥500Mbps，端到端延迟≤30ms，关键业务优先级保障。</w:t>
      </w:r>
    </w:p>
    <w:p w14:paraId="58F46852">
      <w:pPr>
        <w:keepNext w:val="0"/>
        <w:keepLines w:val="0"/>
        <w:pageBreakBefore w:val="0"/>
        <w:kinsoku/>
        <w:wordWrap/>
        <w:overflowPunct/>
        <w:topLinePunct w:val="0"/>
        <w:autoSpaceDE/>
        <w:autoSpaceDN/>
        <w:bidi w:val="0"/>
        <w:adjustRightInd/>
        <w:snapToGrid/>
        <w:spacing w:line="360" w:lineRule="auto"/>
        <w:ind w:left="0" w:right="0" w:firstLine="468" w:firstLineChars="200"/>
        <w:jc w:val="left"/>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4.2服务质量监控：实施服务质量监控机制，定期收集和分析网络性能数据，及</w:t>
      </w:r>
      <w:r>
        <w:rPr>
          <w:rFonts w:hint="eastAsia" w:ascii="宋体" w:hAnsi="宋体" w:eastAsia="宋体" w:cs="宋体"/>
          <w:color w:val="auto"/>
          <w:spacing w:val="-2"/>
          <w:kern w:val="2"/>
          <w:sz w:val="24"/>
          <w:szCs w:val="24"/>
          <w:highlight w:val="none"/>
          <w:lang w:val="en-US" w:eastAsia="en-US" w:bidi="ar-SA"/>
        </w:rPr>
        <w:t>时发现并解决问题，持续改进服务质量。</w:t>
      </w:r>
    </w:p>
    <w:p w14:paraId="11E5C84A">
      <w:pPr>
        <w:keepNext w:val="0"/>
        <w:keepLines w:val="0"/>
        <w:pageBreakBefore w:val="0"/>
        <w:kinsoku/>
        <w:wordWrap/>
        <w:overflowPunct/>
        <w:topLinePunct w:val="0"/>
        <w:autoSpaceDE/>
        <w:autoSpaceDN/>
        <w:bidi w:val="0"/>
        <w:adjustRightInd/>
        <w:snapToGrid/>
        <w:spacing w:line="360" w:lineRule="auto"/>
        <w:ind w:left="0" w:right="0" w:firstLine="476" w:firstLineChars="200"/>
        <w:jc w:val="both"/>
        <w:textAlignment w:val="auto"/>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en-US" w:bidi="ar-SA"/>
        </w:rPr>
        <w:t>4.3报告与反馈：定期向医院归口管理部门提交服</w:t>
      </w:r>
      <w:r>
        <w:rPr>
          <w:rFonts w:hint="eastAsia" w:ascii="宋体" w:hAnsi="宋体" w:eastAsia="宋体" w:cs="宋体"/>
          <w:color w:val="auto"/>
          <w:spacing w:val="-2"/>
          <w:kern w:val="2"/>
          <w:sz w:val="24"/>
          <w:szCs w:val="24"/>
          <w:highlight w:val="none"/>
          <w:lang w:val="en-US" w:eastAsia="en-US" w:bidi="ar-SA"/>
        </w:rPr>
        <w:t>务报告，包括服务执行情况、</w:t>
      </w:r>
      <w:r>
        <w:rPr>
          <w:rFonts w:hint="eastAsia" w:ascii="宋体" w:hAnsi="宋体" w:eastAsia="宋体" w:cs="宋体"/>
          <w:color w:val="auto"/>
          <w:kern w:val="2"/>
          <w:sz w:val="24"/>
          <w:szCs w:val="24"/>
          <w:highlight w:val="none"/>
          <w:lang w:val="en-US" w:eastAsia="en-US" w:bidi="ar-SA"/>
        </w:rPr>
        <w:t xml:space="preserve"> </w:t>
      </w:r>
      <w:r>
        <w:rPr>
          <w:rFonts w:hint="eastAsia" w:ascii="宋体" w:hAnsi="宋体" w:eastAsia="宋体" w:cs="宋体"/>
          <w:color w:val="auto"/>
          <w:spacing w:val="-1"/>
          <w:kern w:val="2"/>
          <w:sz w:val="24"/>
          <w:szCs w:val="24"/>
          <w:highlight w:val="none"/>
          <w:lang w:val="en-US" w:eastAsia="en-US" w:bidi="ar-SA"/>
        </w:rPr>
        <w:t>性能指标达成情况以及用户反馈，以便及时调整服务策略</w:t>
      </w:r>
      <w:r>
        <w:rPr>
          <w:rFonts w:hint="eastAsia" w:ascii="宋体" w:hAnsi="宋体" w:eastAsia="宋体" w:cs="宋体"/>
          <w:color w:val="auto"/>
          <w:spacing w:val="-1"/>
          <w:kern w:val="2"/>
          <w:sz w:val="24"/>
          <w:szCs w:val="24"/>
          <w:highlight w:val="none"/>
          <w:lang w:val="en-US" w:eastAsia="zh-CN" w:bidi="ar-SA"/>
        </w:rPr>
        <w:t>。</w:t>
      </w:r>
    </w:p>
    <w:p w14:paraId="3CDE3409">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5.定期维护与升级</w:t>
      </w:r>
    </w:p>
    <w:p w14:paraId="2DA99D72">
      <w:pPr>
        <w:keepNext w:val="0"/>
        <w:keepLines w:val="0"/>
        <w:pageBreakBefore w:val="0"/>
        <w:kinsoku/>
        <w:wordWrap/>
        <w:overflowPunct/>
        <w:topLinePunct w:val="0"/>
        <w:autoSpaceDE/>
        <w:autoSpaceDN/>
        <w:bidi w:val="0"/>
        <w:adjustRightInd/>
        <w:snapToGrid/>
        <w:spacing w:line="360" w:lineRule="auto"/>
        <w:ind w:left="0" w:right="0" w:firstLine="236" w:firstLineChars="101"/>
        <w:jc w:val="left"/>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5.1预防性维护：制定并执行预防性维护计划，包括软件更新、硬件检查和网络</w:t>
      </w:r>
      <w:r>
        <w:rPr>
          <w:rFonts w:hint="eastAsia" w:ascii="宋体" w:hAnsi="宋体" w:eastAsia="宋体" w:cs="宋体"/>
          <w:color w:val="auto"/>
          <w:spacing w:val="-1"/>
          <w:kern w:val="2"/>
          <w:sz w:val="24"/>
          <w:szCs w:val="24"/>
          <w:highlight w:val="none"/>
          <w:lang w:val="en-US" w:eastAsia="en-US" w:bidi="ar-SA"/>
        </w:rPr>
        <w:t>优化等，旨在预防潜在的故障和性能下降。</w:t>
      </w:r>
    </w:p>
    <w:p w14:paraId="1660AFE0">
      <w:pPr>
        <w:keepNext w:val="0"/>
        <w:keepLines w:val="0"/>
        <w:pageBreakBefore w:val="0"/>
        <w:kinsoku/>
        <w:wordWrap/>
        <w:overflowPunct/>
        <w:topLinePunct w:val="0"/>
        <w:autoSpaceDE/>
        <w:autoSpaceDN/>
        <w:bidi w:val="0"/>
        <w:adjustRightInd/>
        <w:snapToGrid/>
        <w:spacing w:line="360" w:lineRule="auto"/>
        <w:ind w:left="0" w:right="0" w:firstLine="236" w:firstLineChars="101"/>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5.2系统升级：根据技术发展和用户需求的变化，定期评估并升级无线网络设备</w:t>
      </w:r>
      <w:r>
        <w:rPr>
          <w:rFonts w:hint="eastAsia" w:ascii="宋体" w:hAnsi="宋体" w:eastAsia="宋体" w:cs="宋体"/>
          <w:color w:val="auto"/>
          <w:spacing w:val="-1"/>
          <w:kern w:val="2"/>
          <w:sz w:val="24"/>
          <w:szCs w:val="24"/>
          <w:highlight w:val="none"/>
          <w:lang w:val="en-US" w:eastAsia="en-US" w:bidi="ar-SA"/>
        </w:rPr>
        <w:t>和软件，确保系统的安全性和先进性。</w:t>
      </w:r>
    </w:p>
    <w:p w14:paraId="02A68885">
      <w:pPr>
        <w:keepNext w:val="0"/>
        <w:keepLines w:val="0"/>
        <w:pageBreakBefore w:val="0"/>
        <w:kinsoku/>
        <w:wordWrap/>
        <w:overflowPunct/>
        <w:topLinePunct w:val="0"/>
        <w:autoSpaceDE/>
        <w:autoSpaceDN/>
        <w:bidi w:val="0"/>
        <w:adjustRightInd/>
        <w:snapToGrid/>
        <w:spacing w:line="360" w:lineRule="auto"/>
        <w:ind w:left="0" w:right="0" w:firstLine="234" w:firstLineChars="1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5.3文档记录：详细记录每次维护和升级的过程、结果以及任何发现的问题，为</w:t>
      </w:r>
      <w:r>
        <w:rPr>
          <w:rFonts w:hint="eastAsia" w:ascii="宋体" w:hAnsi="宋体" w:eastAsia="宋体" w:cs="宋体"/>
          <w:color w:val="auto"/>
          <w:spacing w:val="-2"/>
          <w:kern w:val="2"/>
          <w:sz w:val="24"/>
          <w:szCs w:val="24"/>
          <w:highlight w:val="none"/>
          <w:lang w:val="en-US" w:eastAsia="en-US" w:bidi="ar-SA"/>
        </w:rPr>
        <w:t>未来的审计和回顾提供依据。</w:t>
      </w:r>
    </w:p>
    <w:p w14:paraId="7148E0F5">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6.稳定性要求</w:t>
      </w:r>
    </w:p>
    <w:p w14:paraId="6580BA1B">
      <w:pPr>
        <w:keepNext w:val="0"/>
        <w:keepLines w:val="0"/>
        <w:pageBreakBefore w:val="0"/>
        <w:kinsoku/>
        <w:wordWrap/>
        <w:overflowPunct/>
        <w:topLinePunct w:val="0"/>
        <w:autoSpaceDE/>
        <w:autoSpaceDN/>
        <w:bidi w:val="0"/>
        <w:adjustRightInd/>
        <w:snapToGrid/>
        <w:spacing w:line="360" w:lineRule="auto"/>
        <w:ind w:left="0" w:right="0" w:firstLine="234" w:firstLineChars="100"/>
        <w:jc w:val="both"/>
        <w:textAlignment w:val="auto"/>
        <w:rPr>
          <w:rFonts w:hint="eastAsia" w:ascii="宋体" w:hAnsi="宋体" w:eastAsia="宋体" w:cs="宋体"/>
          <w:color w:val="auto"/>
          <w:spacing w:val="-1"/>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6.1高可用性：系统需</w:t>
      </w:r>
      <w:r>
        <w:rPr>
          <w:rFonts w:hint="eastAsia" w:ascii="宋体" w:hAnsi="宋体" w:eastAsia="宋体" w:cs="宋体"/>
          <w:color w:val="auto"/>
          <w:spacing w:val="-3"/>
          <w:kern w:val="2"/>
          <w:sz w:val="24"/>
          <w:szCs w:val="24"/>
          <w:highlight w:val="none"/>
          <w:lang w:val="en-US" w:eastAsia="zh-CN" w:bidi="ar-SA"/>
        </w:rPr>
        <w:t>实现</w:t>
      </w:r>
      <w:r>
        <w:rPr>
          <w:rFonts w:hint="eastAsia" w:ascii="宋体" w:hAnsi="宋体" w:eastAsia="宋体" w:cs="宋体"/>
          <w:color w:val="auto"/>
          <w:spacing w:val="-3"/>
          <w:kern w:val="2"/>
          <w:sz w:val="24"/>
          <w:szCs w:val="24"/>
          <w:highlight w:val="none"/>
          <w:lang w:val="en-US" w:eastAsia="en-US" w:bidi="ar-SA"/>
        </w:rPr>
        <w:t>支持冗余设计，以确保在单个无线接入点故障时，其他无</w:t>
      </w:r>
      <w:r>
        <w:rPr>
          <w:rFonts w:hint="eastAsia" w:ascii="宋体" w:hAnsi="宋体" w:eastAsia="宋体" w:cs="宋体"/>
          <w:color w:val="auto"/>
          <w:spacing w:val="-1"/>
          <w:kern w:val="2"/>
          <w:sz w:val="24"/>
          <w:szCs w:val="24"/>
          <w:highlight w:val="none"/>
          <w:lang w:val="en-US" w:eastAsia="en-US" w:bidi="ar-SA"/>
        </w:rPr>
        <w:t>线接入点能够无缝接管，保证网络的持续稳定运行。</w:t>
      </w:r>
    </w:p>
    <w:p w14:paraId="3801A416">
      <w:pPr>
        <w:keepNext w:val="0"/>
        <w:keepLines w:val="0"/>
        <w:pageBreakBefore w:val="0"/>
        <w:kinsoku/>
        <w:wordWrap/>
        <w:overflowPunct/>
        <w:topLinePunct w:val="0"/>
        <w:autoSpaceDE/>
        <w:autoSpaceDN/>
        <w:bidi w:val="0"/>
        <w:adjustRightInd/>
        <w:snapToGrid/>
        <w:spacing w:line="360" w:lineRule="auto"/>
        <w:ind w:left="0" w:right="0" w:firstLine="234" w:firstLineChars="1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6.2故障恢复：建立完善的网络管理平台，能够实时监测网络运行状态并提前预警潜在的问题，出现网</w:t>
      </w:r>
      <w:r>
        <w:rPr>
          <w:rFonts w:hint="eastAsia" w:ascii="宋体" w:hAnsi="宋体" w:eastAsia="宋体" w:cs="宋体"/>
          <w:color w:val="auto"/>
          <w:spacing w:val="-4"/>
          <w:kern w:val="2"/>
          <w:sz w:val="24"/>
          <w:szCs w:val="24"/>
          <w:highlight w:val="none"/>
          <w:lang w:val="en-US" w:eastAsia="en-US" w:bidi="ar-SA"/>
        </w:rPr>
        <w:t>络故障时，恢</w:t>
      </w:r>
      <w:r>
        <w:rPr>
          <w:rFonts w:hint="eastAsia" w:ascii="宋体" w:hAnsi="宋体" w:eastAsia="宋体" w:cs="宋体"/>
          <w:color w:val="auto"/>
          <w:spacing w:val="-2"/>
          <w:kern w:val="2"/>
          <w:sz w:val="24"/>
          <w:szCs w:val="24"/>
          <w:highlight w:val="none"/>
          <w:lang w:val="en-US" w:eastAsia="en-US" w:bidi="ar-SA"/>
        </w:rPr>
        <w:t>复时间不超过</w:t>
      </w:r>
      <w:r>
        <w:rPr>
          <w:rFonts w:hint="eastAsia" w:ascii="宋体" w:hAnsi="宋体" w:eastAsia="宋体" w:cs="宋体"/>
          <w:color w:val="auto"/>
          <w:spacing w:val="-35"/>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2</w:t>
      </w:r>
      <w:r>
        <w:rPr>
          <w:rFonts w:hint="eastAsia" w:ascii="宋体" w:hAnsi="宋体" w:eastAsia="宋体" w:cs="宋体"/>
          <w:color w:val="auto"/>
          <w:spacing w:val="-44"/>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小时，保证医护人员的工作不受影响。</w:t>
      </w:r>
    </w:p>
    <w:p w14:paraId="3FBBF460">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4"/>
          <w:kern w:val="2"/>
          <w:sz w:val="24"/>
          <w:szCs w:val="24"/>
          <w:highlight w:val="none"/>
          <w:lang w:val="en-US" w:eastAsia="en-US" w:bidi="ar-SA"/>
        </w:rPr>
        <w:t>7.扩展性要求</w:t>
      </w:r>
    </w:p>
    <w:p w14:paraId="69CBDE98">
      <w:pPr>
        <w:keepNext w:val="0"/>
        <w:keepLines w:val="0"/>
        <w:pageBreakBefore w:val="0"/>
        <w:kinsoku/>
        <w:wordWrap/>
        <w:overflowPunct/>
        <w:topLinePunct w:val="0"/>
        <w:autoSpaceDE/>
        <w:autoSpaceDN/>
        <w:bidi w:val="0"/>
        <w:adjustRightInd/>
        <w:snapToGrid/>
        <w:spacing w:line="360" w:lineRule="auto"/>
        <w:ind w:left="0" w:right="0" w:firstLine="240" w:firstLineChars="102"/>
        <w:jc w:val="left"/>
        <w:textAlignment w:val="auto"/>
        <w:rPr>
          <w:rFonts w:hint="eastAsia" w:ascii="宋体" w:hAnsi="宋体" w:eastAsia="宋体" w:cs="宋体"/>
          <w:color w:val="auto"/>
          <w:spacing w:val="-1"/>
          <w:kern w:val="2"/>
          <w:sz w:val="24"/>
          <w:szCs w:val="24"/>
          <w:highlight w:val="none"/>
          <w:lang w:val="en-US" w:eastAsia="en-US" w:bidi="ar-SA"/>
        </w:rPr>
      </w:pPr>
      <w:r>
        <w:rPr>
          <w:rFonts w:hint="eastAsia" w:ascii="宋体" w:hAnsi="宋体" w:eastAsia="宋体" w:cs="宋体"/>
          <w:color w:val="auto"/>
          <w:spacing w:val="-2"/>
          <w:kern w:val="2"/>
          <w:sz w:val="24"/>
          <w:szCs w:val="24"/>
          <w:highlight w:val="none"/>
          <w:lang w:val="en-US" w:eastAsia="en-US" w:bidi="ar-SA"/>
        </w:rPr>
        <w:t>7.1</w:t>
      </w:r>
      <w:r>
        <w:rPr>
          <w:rFonts w:hint="eastAsia" w:ascii="宋体" w:hAnsi="宋体" w:eastAsia="宋体" w:cs="宋体"/>
          <w:color w:val="auto"/>
          <w:spacing w:val="-38"/>
          <w:kern w:val="2"/>
          <w:sz w:val="24"/>
          <w:szCs w:val="24"/>
          <w:highlight w:val="none"/>
          <w:lang w:val="en-US" w:eastAsia="en-US" w:bidi="ar-SA"/>
        </w:rPr>
        <w:t xml:space="preserve"> </w:t>
      </w:r>
      <w:r>
        <w:rPr>
          <w:rFonts w:hint="eastAsia" w:ascii="宋体" w:hAnsi="宋体" w:eastAsia="宋体" w:cs="宋体"/>
          <w:color w:val="auto"/>
          <w:spacing w:val="-3"/>
          <w:kern w:val="2"/>
          <w:sz w:val="24"/>
          <w:szCs w:val="24"/>
          <w:highlight w:val="none"/>
          <w:lang w:val="en-US" w:eastAsia="en-US" w:bidi="ar-SA"/>
        </w:rPr>
        <w:t>网络架构必须能够灵活应对未来的变化与挑战</w:t>
      </w:r>
      <w:r>
        <w:rPr>
          <w:rFonts w:hint="eastAsia" w:ascii="宋体" w:hAnsi="宋体" w:eastAsia="宋体" w:cs="宋体"/>
          <w:color w:val="auto"/>
          <w:spacing w:val="-3"/>
          <w:kern w:val="2"/>
          <w:sz w:val="24"/>
          <w:szCs w:val="24"/>
          <w:highlight w:val="none"/>
          <w:lang w:val="en-US" w:eastAsia="zh-CN" w:bidi="ar-SA"/>
        </w:rPr>
        <w:t>，</w:t>
      </w:r>
      <w:r>
        <w:rPr>
          <w:rFonts w:hint="eastAsia" w:ascii="宋体" w:hAnsi="宋体" w:eastAsia="宋体" w:cs="宋体"/>
          <w:color w:val="auto"/>
          <w:spacing w:val="-3"/>
          <w:kern w:val="2"/>
          <w:sz w:val="24"/>
          <w:szCs w:val="24"/>
          <w:highlight w:val="none"/>
          <w:lang w:val="en-US" w:eastAsia="en-US" w:bidi="ar-SA"/>
        </w:rPr>
        <w:t>需要将可扩展性置于核心位置，确保无线网络不仅满足当前的业务需求，更能无缝衔接未来的</w:t>
      </w:r>
      <w:r>
        <w:rPr>
          <w:rFonts w:hint="eastAsia" w:ascii="宋体" w:hAnsi="宋体" w:eastAsia="宋体" w:cs="宋体"/>
          <w:color w:val="auto"/>
          <w:spacing w:val="-3"/>
          <w:kern w:val="2"/>
          <w:sz w:val="24"/>
          <w:szCs w:val="24"/>
          <w:highlight w:val="none"/>
          <w:lang w:val="en-US" w:eastAsia="zh-CN" w:bidi="ar-SA"/>
        </w:rPr>
        <w:t>医院业务发展的要求</w:t>
      </w:r>
      <w:r>
        <w:rPr>
          <w:rFonts w:hint="eastAsia" w:ascii="宋体" w:hAnsi="宋体" w:eastAsia="宋体" w:cs="宋体"/>
          <w:color w:val="auto"/>
          <w:spacing w:val="-3"/>
          <w:kern w:val="2"/>
          <w:sz w:val="24"/>
          <w:szCs w:val="24"/>
          <w:highlight w:val="none"/>
          <w:lang w:val="en-US" w:eastAsia="en-US" w:bidi="ar-SA"/>
        </w:rPr>
        <w:t>。在病房</w:t>
      </w:r>
      <w:r>
        <w:rPr>
          <w:rFonts w:hint="eastAsia" w:ascii="宋体" w:hAnsi="宋体" w:eastAsia="宋体" w:cs="宋体"/>
          <w:color w:val="auto"/>
          <w:spacing w:val="-3"/>
          <w:kern w:val="2"/>
          <w:sz w:val="24"/>
          <w:szCs w:val="24"/>
          <w:highlight w:val="none"/>
          <w:lang w:val="en-US" w:eastAsia="zh-CN" w:bidi="ar-SA"/>
        </w:rPr>
        <w:t>、</w:t>
      </w:r>
      <w:r>
        <w:rPr>
          <w:rFonts w:hint="eastAsia" w:ascii="宋体" w:hAnsi="宋体" w:eastAsia="宋体" w:cs="宋体"/>
          <w:color w:val="auto"/>
          <w:spacing w:val="-3"/>
          <w:kern w:val="2"/>
          <w:sz w:val="24"/>
          <w:szCs w:val="24"/>
          <w:highlight w:val="none"/>
          <w:lang w:val="en-US" w:eastAsia="en-US" w:bidi="ar-SA"/>
        </w:rPr>
        <w:t>门诊收费窗口、</w:t>
      </w:r>
      <w:r>
        <w:rPr>
          <w:rFonts w:hint="eastAsia" w:ascii="宋体" w:hAnsi="宋体" w:eastAsia="宋体" w:cs="宋体"/>
          <w:color w:val="auto"/>
          <w:spacing w:val="-3"/>
          <w:kern w:val="2"/>
          <w:sz w:val="24"/>
          <w:szCs w:val="24"/>
          <w:highlight w:val="none"/>
          <w:lang w:val="en-US" w:eastAsia="zh-CN" w:bidi="ar-SA"/>
        </w:rPr>
        <w:t>急诊大厅</w:t>
      </w:r>
      <w:r>
        <w:rPr>
          <w:rFonts w:hint="eastAsia" w:ascii="宋体" w:hAnsi="宋体" w:eastAsia="宋体" w:cs="宋体"/>
          <w:color w:val="auto"/>
          <w:spacing w:val="-3"/>
          <w:kern w:val="2"/>
          <w:sz w:val="24"/>
          <w:szCs w:val="24"/>
          <w:highlight w:val="none"/>
          <w:lang w:val="en-US" w:eastAsia="en-US" w:bidi="ar-SA"/>
        </w:rPr>
        <w:t>等不同场景下，需要根据实际需求动态调整无线接入点的数量和分布，实现精准覆盖和资源优化配置。同</w:t>
      </w:r>
      <w:r>
        <w:rPr>
          <w:rFonts w:hint="eastAsia" w:ascii="宋体" w:hAnsi="宋体" w:eastAsia="宋体" w:cs="宋体"/>
          <w:color w:val="auto"/>
          <w:spacing w:val="-8"/>
          <w:kern w:val="2"/>
          <w:sz w:val="24"/>
          <w:szCs w:val="24"/>
          <w:highlight w:val="none"/>
          <w:lang w:val="en-US" w:eastAsia="en-US" w:bidi="ar-SA"/>
        </w:rPr>
        <w:t>时</w:t>
      </w:r>
      <w:r>
        <w:rPr>
          <w:rFonts w:hint="eastAsia" w:ascii="宋体" w:hAnsi="宋体" w:eastAsia="宋体" w:cs="宋体"/>
          <w:color w:val="auto"/>
          <w:spacing w:val="-8"/>
          <w:kern w:val="2"/>
          <w:sz w:val="24"/>
          <w:szCs w:val="24"/>
          <w:highlight w:val="none"/>
          <w:lang w:val="en-US" w:eastAsia="zh-CN" w:bidi="ar-SA"/>
        </w:rPr>
        <w:t>要求</w:t>
      </w:r>
      <w:r>
        <w:rPr>
          <w:rFonts w:hint="eastAsia" w:ascii="宋体" w:hAnsi="宋体" w:eastAsia="宋体" w:cs="宋体"/>
          <w:color w:val="auto"/>
          <w:spacing w:val="-8"/>
          <w:kern w:val="2"/>
          <w:sz w:val="24"/>
          <w:szCs w:val="24"/>
          <w:highlight w:val="none"/>
          <w:lang w:val="en-US" w:eastAsia="en-US" w:bidi="ar-SA"/>
        </w:rPr>
        <w:t>支持快速添加新的服务功能，如远程会诊、智能导诊等，</w:t>
      </w:r>
      <w:r>
        <w:rPr>
          <w:rFonts w:hint="eastAsia" w:ascii="宋体" w:hAnsi="宋体" w:eastAsia="宋体" w:cs="宋体"/>
          <w:color w:val="auto"/>
          <w:spacing w:val="-1"/>
          <w:kern w:val="2"/>
          <w:sz w:val="24"/>
          <w:szCs w:val="24"/>
          <w:highlight w:val="none"/>
          <w:lang w:val="en-US" w:eastAsia="en-US" w:bidi="ar-SA"/>
        </w:rPr>
        <w:t>进一步提升医疗服务的效率和质量。</w:t>
      </w:r>
    </w:p>
    <w:p w14:paraId="26FCCD05">
      <w:pPr>
        <w:keepNext w:val="0"/>
        <w:keepLines w:val="0"/>
        <w:pageBreakBefore w:val="0"/>
        <w:kinsoku/>
        <w:wordWrap/>
        <w:overflowPunct/>
        <w:topLinePunct w:val="0"/>
        <w:autoSpaceDE/>
        <w:autoSpaceDN/>
        <w:bidi w:val="0"/>
        <w:adjustRightInd/>
        <w:snapToGrid/>
        <w:spacing w:line="360" w:lineRule="auto"/>
        <w:ind w:left="0" w:right="0" w:firstLine="242" w:firstLineChars="102"/>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7.2在面对未来外网业务需求时，无需再部署另外一套无线网络，可直接使用本次招标的无线基础平台，且能实现两张业务网完全物理隔离。</w:t>
      </w:r>
    </w:p>
    <w:p w14:paraId="40ADA547">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5"/>
          <w:kern w:val="2"/>
          <w:sz w:val="24"/>
          <w:szCs w:val="24"/>
          <w:highlight w:val="none"/>
          <w:lang w:val="en-US" w:eastAsia="en-US" w:bidi="ar-SA"/>
        </w:rPr>
        <w:t>8.兼容性要求</w:t>
      </w:r>
    </w:p>
    <w:p w14:paraId="7544E41F">
      <w:pPr>
        <w:keepNext w:val="0"/>
        <w:keepLines w:val="0"/>
        <w:pageBreakBefore w:val="0"/>
        <w:kinsoku/>
        <w:wordWrap/>
        <w:overflowPunct/>
        <w:topLinePunct w:val="0"/>
        <w:autoSpaceDE/>
        <w:autoSpaceDN/>
        <w:bidi w:val="0"/>
        <w:adjustRightInd/>
        <w:snapToGrid/>
        <w:spacing w:line="360" w:lineRule="auto"/>
        <w:ind w:left="0" w:right="0" w:firstLine="236" w:firstLineChars="101"/>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8.1设备兼容性：在构建医院无线网络覆盖项目时，兼容性是一个至关重要的考量因素。为了确保整个网络系统的稳定性和高效性，避免因不同品牌产品之间的兼容性问题而导致的网络故障和性能瓶颈。投标供应商必须保证整体兼容性及</w:t>
      </w:r>
      <w:r>
        <w:rPr>
          <w:rFonts w:hint="eastAsia" w:ascii="宋体" w:hAnsi="宋体" w:eastAsia="宋体" w:cs="宋体"/>
          <w:color w:val="auto"/>
          <w:spacing w:val="-5"/>
          <w:kern w:val="2"/>
          <w:sz w:val="24"/>
          <w:szCs w:val="24"/>
          <w:highlight w:val="none"/>
          <w:lang w:val="en-US" w:eastAsia="en-US" w:bidi="ar-SA"/>
        </w:rPr>
        <w:t>稳定性，</w:t>
      </w:r>
      <w:r>
        <w:rPr>
          <w:rFonts w:hint="eastAsia" w:ascii="宋体" w:hAnsi="宋体" w:eastAsia="宋体" w:cs="宋体"/>
          <w:b/>
          <w:bCs/>
          <w:color w:val="auto"/>
          <w:spacing w:val="-5"/>
          <w:kern w:val="2"/>
          <w:sz w:val="24"/>
          <w:szCs w:val="24"/>
          <w:highlight w:val="none"/>
          <w:lang w:val="en-US" w:eastAsia="en-US" w:bidi="ar-SA"/>
        </w:rPr>
        <w:t>响应文件中提供承诺函（格式自拟）。</w:t>
      </w:r>
    </w:p>
    <w:p w14:paraId="0117AA75">
      <w:pPr>
        <w:keepNext w:val="0"/>
        <w:keepLines w:val="0"/>
        <w:pageBreakBefore w:val="0"/>
        <w:kinsoku/>
        <w:wordWrap/>
        <w:overflowPunct/>
        <w:topLinePunct w:val="0"/>
        <w:autoSpaceDE/>
        <w:autoSpaceDN/>
        <w:bidi w:val="0"/>
        <w:adjustRightInd/>
        <w:snapToGrid/>
        <w:spacing w:line="360" w:lineRule="auto"/>
        <w:ind w:left="0" w:right="0" w:firstLine="238" w:firstLineChars="1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1"/>
          <w:kern w:val="2"/>
          <w:sz w:val="24"/>
          <w:szCs w:val="24"/>
          <w:highlight w:val="none"/>
          <w:lang w:val="en-US" w:eastAsia="en-US" w:bidi="ar-SA"/>
        </w:rPr>
        <w:t>8.2应支持多种无线网络协议，以适应不同设备和网络需求。</w:t>
      </w:r>
    </w:p>
    <w:p w14:paraId="70AA5186">
      <w:pPr>
        <w:keepNext w:val="0"/>
        <w:keepLines w:val="0"/>
        <w:pageBreakBefore w:val="0"/>
        <w:numPr>
          <w:ilvl w:val="0"/>
          <w:numId w:val="7"/>
        </w:numPr>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b/>
          <w:bCs/>
          <w:color w:val="auto"/>
          <w:spacing w:val="-5"/>
          <w:kern w:val="2"/>
          <w:sz w:val="24"/>
          <w:szCs w:val="24"/>
          <w:highlight w:val="none"/>
          <w:lang w:val="en-US" w:eastAsia="en-US" w:bidi="ar-SA"/>
        </w:rPr>
      </w:pPr>
      <w:r>
        <w:rPr>
          <w:rFonts w:hint="eastAsia" w:ascii="宋体" w:hAnsi="宋体" w:eastAsia="宋体" w:cs="宋体"/>
          <w:b/>
          <w:bCs/>
          <w:color w:val="auto"/>
          <w:spacing w:val="-5"/>
          <w:kern w:val="2"/>
          <w:sz w:val="24"/>
          <w:szCs w:val="24"/>
          <w:highlight w:val="none"/>
          <w:lang w:val="en-US" w:eastAsia="en-US" w:bidi="ar-SA"/>
        </w:rPr>
        <w:t>安全性要求</w:t>
      </w:r>
    </w:p>
    <w:p w14:paraId="06C028AF">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en-US" w:bidi="ar-SA"/>
        </w:rPr>
        <w:t>9.1</w:t>
      </w:r>
      <w:r>
        <w:rPr>
          <w:rFonts w:hint="eastAsia" w:ascii="宋体" w:hAnsi="宋体" w:eastAsia="宋体" w:cs="宋体"/>
          <w:b w:val="0"/>
          <w:bCs w:val="0"/>
          <w:color w:val="auto"/>
          <w:spacing w:val="-5"/>
          <w:kern w:val="2"/>
          <w:sz w:val="24"/>
          <w:szCs w:val="24"/>
          <w:highlight w:val="none"/>
          <w:lang w:val="en-US" w:eastAsia="zh-CN" w:bidi="ar-SA"/>
        </w:rPr>
        <w:t xml:space="preserve"> </w:t>
      </w:r>
      <w:r>
        <w:rPr>
          <w:rFonts w:hint="eastAsia" w:ascii="宋体" w:hAnsi="宋体" w:eastAsia="宋体" w:cs="宋体"/>
          <w:b w:val="0"/>
          <w:bCs w:val="0"/>
          <w:color w:val="auto"/>
          <w:spacing w:val="-5"/>
          <w:kern w:val="2"/>
          <w:sz w:val="24"/>
          <w:szCs w:val="24"/>
          <w:highlight w:val="none"/>
          <w:lang w:val="en-US" w:eastAsia="en-US" w:bidi="ar-SA"/>
        </w:rPr>
        <w:t>数据加密：</w:t>
      </w:r>
      <w:r>
        <w:rPr>
          <w:rFonts w:hint="eastAsia" w:ascii="宋体" w:hAnsi="宋体" w:eastAsia="宋体" w:cs="宋体"/>
          <w:b w:val="0"/>
          <w:bCs w:val="0"/>
          <w:color w:val="auto"/>
          <w:spacing w:val="-5"/>
          <w:kern w:val="2"/>
          <w:sz w:val="24"/>
          <w:szCs w:val="24"/>
          <w:highlight w:val="none"/>
          <w:lang w:val="en-US" w:eastAsia="zh-CN" w:bidi="ar-SA"/>
        </w:rPr>
        <w:t>必须</w:t>
      </w:r>
      <w:r>
        <w:rPr>
          <w:rFonts w:hint="eastAsia" w:ascii="宋体" w:hAnsi="宋体" w:eastAsia="宋体" w:cs="宋体"/>
          <w:b w:val="0"/>
          <w:bCs w:val="0"/>
          <w:color w:val="auto"/>
          <w:spacing w:val="-5"/>
          <w:kern w:val="2"/>
          <w:sz w:val="24"/>
          <w:szCs w:val="24"/>
          <w:highlight w:val="none"/>
          <w:lang w:val="en-US" w:eastAsia="en-US" w:bidi="ar-SA"/>
        </w:rPr>
        <w:t>采用先进的加密技术，确保用户数据和医院信息安全。</w:t>
      </w:r>
    </w:p>
    <w:p w14:paraId="59D70483">
      <w:pPr>
        <w:keepNext w:val="0"/>
        <w:keepLines w:val="0"/>
        <w:pageBreakBefore w:val="0"/>
        <w:numPr>
          <w:ilvl w:val="0"/>
          <w:numId w:val="0"/>
        </w:numPr>
        <w:kinsoku/>
        <w:wordWrap/>
        <w:overflowPunct/>
        <w:topLinePunct w:val="0"/>
        <w:autoSpaceDE/>
        <w:autoSpaceDN/>
        <w:bidi w:val="0"/>
        <w:adjustRightInd/>
        <w:snapToGrid/>
        <w:spacing w:line="360" w:lineRule="auto"/>
        <w:ind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9.2 访问控制：实现基于角色的访问控制，确保不同用户在网络上的权限设置合理，</w:t>
      </w:r>
    </w:p>
    <w:p w14:paraId="57C06CE0">
      <w:pPr>
        <w:keepNext w:val="0"/>
        <w:keepLines w:val="0"/>
        <w:pageBreakBefore w:val="0"/>
        <w:numPr>
          <w:ilvl w:val="0"/>
          <w:numId w:val="0"/>
        </w:numPr>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保护敏感信息。</w:t>
      </w:r>
    </w:p>
    <w:p w14:paraId="6AA3D389">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服务期限</w:t>
      </w:r>
      <w:r>
        <w:rPr>
          <w:rFonts w:hint="eastAsia" w:ascii="宋体" w:hAnsi="宋体" w:cs="宋体"/>
          <w:b w:val="0"/>
          <w:bCs w:val="0"/>
          <w:color w:val="auto"/>
          <w:spacing w:val="-5"/>
          <w:kern w:val="2"/>
          <w:sz w:val="24"/>
          <w:szCs w:val="24"/>
          <w:highlight w:val="none"/>
          <w:lang w:val="en-US" w:eastAsia="zh-CN" w:bidi="ar-SA"/>
        </w:rPr>
        <w:t>：</w:t>
      </w:r>
    </w:p>
    <w:p w14:paraId="054EB12D">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default" w:ascii="宋体" w:hAnsi="宋体" w:cs="宋体"/>
          <w:b w:val="0"/>
          <w:bCs w:val="0"/>
          <w:color w:val="auto"/>
          <w:spacing w:val="-5"/>
          <w:kern w:val="2"/>
          <w:sz w:val="24"/>
          <w:szCs w:val="24"/>
          <w:highlight w:val="none"/>
          <w:lang w:val="en-US" w:eastAsia="zh-CN" w:bidi="ar-SA"/>
        </w:rPr>
      </w:pPr>
      <w:r>
        <w:rPr>
          <w:rFonts w:hint="eastAsia" w:ascii="宋体" w:hAnsi="宋体" w:cs="宋体"/>
          <w:b w:val="0"/>
          <w:bCs w:val="0"/>
          <w:color w:val="auto"/>
          <w:spacing w:val="-5"/>
          <w:kern w:val="2"/>
          <w:sz w:val="24"/>
          <w:szCs w:val="24"/>
          <w:highlight w:val="none"/>
          <w:lang w:val="en-US" w:eastAsia="zh-CN" w:bidi="ar-SA"/>
        </w:rPr>
        <w:t>1.项目工期：自合同签订之日起40日内完成供货及安装调试工作；</w:t>
      </w:r>
    </w:p>
    <w:p w14:paraId="5EFDB0FF">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cs="宋体"/>
          <w:b w:val="0"/>
          <w:bCs w:val="0"/>
          <w:color w:val="auto"/>
          <w:spacing w:val="-5"/>
          <w:kern w:val="2"/>
          <w:sz w:val="24"/>
          <w:szCs w:val="24"/>
          <w:highlight w:val="none"/>
          <w:lang w:val="en-US" w:eastAsia="zh-CN" w:bidi="ar-SA"/>
        </w:rPr>
        <w:t>2.</w:t>
      </w:r>
      <w:r>
        <w:rPr>
          <w:rFonts w:hint="eastAsia" w:ascii="宋体" w:hAnsi="宋体" w:eastAsia="宋体" w:cs="宋体"/>
          <w:b w:val="0"/>
          <w:bCs w:val="0"/>
          <w:color w:val="auto"/>
          <w:spacing w:val="-5"/>
          <w:kern w:val="2"/>
          <w:sz w:val="24"/>
          <w:szCs w:val="24"/>
          <w:highlight w:val="none"/>
          <w:lang w:val="en-US" w:eastAsia="zh-CN" w:bidi="ar-SA"/>
        </w:rPr>
        <w:t>本项目服务期3年，自项目最终验收合格之日起计算。</w:t>
      </w:r>
    </w:p>
    <w:p w14:paraId="0AEEF6B7">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cs="宋体"/>
          <w:b w:val="0"/>
          <w:bCs w:val="0"/>
          <w:color w:val="auto"/>
          <w:spacing w:val="-5"/>
          <w:kern w:val="2"/>
          <w:sz w:val="24"/>
          <w:szCs w:val="24"/>
          <w:highlight w:val="none"/>
          <w:lang w:val="en-US" w:eastAsia="zh-CN" w:bidi="ar-SA"/>
        </w:rPr>
      </w:pPr>
      <w:r>
        <w:rPr>
          <w:rFonts w:hint="eastAsia" w:ascii="宋体" w:hAnsi="宋体" w:cs="宋体"/>
          <w:b w:val="0"/>
          <w:bCs w:val="0"/>
          <w:color w:val="auto"/>
          <w:spacing w:val="-5"/>
          <w:kern w:val="2"/>
          <w:sz w:val="24"/>
          <w:szCs w:val="24"/>
          <w:highlight w:val="none"/>
          <w:lang w:val="en-US" w:eastAsia="zh-CN" w:bidi="ar-SA"/>
        </w:rPr>
        <w:t>10.其他要求</w:t>
      </w:r>
    </w:p>
    <w:p w14:paraId="4CC60A7D">
      <w:pPr>
        <w:pStyle w:val="2"/>
        <w:rPr>
          <w:rFonts w:hint="default"/>
          <w:color w:val="auto"/>
          <w:highlight w:val="none"/>
          <w:lang w:val="en-US" w:eastAsia="zh-CN"/>
        </w:rPr>
      </w:pPr>
      <w:r>
        <w:rPr>
          <w:rFonts w:hint="eastAsia"/>
          <w:color w:val="auto"/>
          <w:highlight w:val="none"/>
          <w:lang w:val="en-US" w:eastAsia="zh-CN"/>
        </w:rPr>
        <w:t>10.1</w:t>
      </w:r>
      <w:r>
        <w:rPr>
          <w:rFonts w:hint="default"/>
          <w:color w:val="auto"/>
          <w:highlight w:val="none"/>
          <w:lang w:val="en-US" w:eastAsia="zh-CN"/>
        </w:rPr>
        <w:t>系统集成服务:包含安装、调试、培训及日常运维工作，以及项目验收合格后三年的运维服务及质保，所产生的一切费用包含在供应商报价内，成交后采购人不再另行支付其他费用。</w:t>
      </w:r>
    </w:p>
    <w:p w14:paraId="3E418ECF">
      <w:pPr>
        <w:pStyle w:val="2"/>
        <w:rPr>
          <w:rFonts w:hint="default"/>
          <w:color w:val="auto"/>
          <w:highlight w:val="none"/>
          <w:lang w:val="en-US" w:eastAsia="zh-CN"/>
        </w:rPr>
      </w:pPr>
      <w:r>
        <w:rPr>
          <w:rFonts w:hint="eastAsia"/>
          <w:color w:val="auto"/>
          <w:highlight w:val="none"/>
          <w:lang w:val="en-US" w:eastAsia="zh-CN"/>
        </w:rPr>
        <w:t>10.2</w:t>
      </w:r>
      <w:r>
        <w:rPr>
          <w:rFonts w:hint="default"/>
          <w:color w:val="auto"/>
          <w:highlight w:val="none"/>
          <w:lang w:val="en-US" w:eastAsia="zh-CN"/>
        </w:rPr>
        <w:t>互联网出口带宽服务：提供主备两条互联网出口宽带，各10G，且备用出口为异网服务商</w:t>
      </w:r>
      <w:r>
        <w:rPr>
          <w:rFonts w:hint="eastAsia"/>
          <w:color w:val="auto"/>
          <w:highlight w:val="none"/>
          <w:lang w:val="en-US" w:eastAsia="zh-CN"/>
        </w:rPr>
        <w:t>。</w:t>
      </w:r>
    </w:p>
    <w:p w14:paraId="4805279D">
      <w:pPr>
        <w:keepNext w:val="0"/>
        <w:keepLines w:val="0"/>
        <w:pageBreakBefore w:val="0"/>
        <w:numPr>
          <w:ilvl w:val="0"/>
          <w:numId w:val="0"/>
        </w:numPr>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b/>
          <w:bCs/>
          <w:color w:val="auto"/>
          <w:spacing w:val="-5"/>
          <w:kern w:val="2"/>
          <w:sz w:val="24"/>
          <w:szCs w:val="24"/>
          <w:highlight w:val="none"/>
          <w:lang w:val="en-US" w:eastAsia="zh-CN" w:bidi="ar-SA"/>
        </w:rPr>
      </w:pPr>
      <w:r>
        <w:rPr>
          <w:rFonts w:hint="eastAsia" w:ascii="宋体" w:hAnsi="宋体" w:eastAsia="宋体" w:cs="宋体"/>
          <w:b/>
          <w:bCs/>
          <w:color w:val="auto"/>
          <w:spacing w:val="-5"/>
          <w:kern w:val="2"/>
          <w:sz w:val="24"/>
          <w:szCs w:val="24"/>
          <w:highlight w:val="none"/>
          <w:lang w:val="en-US" w:eastAsia="zh-CN" w:bidi="ar-SA"/>
        </w:rPr>
        <w:t>备注：</w:t>
      </w:r>
    </w:p>
    <w:p w14:paraId="2E50B468">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en-US" w:bidi="ar-SA"/>
        </w:rPr>
      </w:pPr>
      <w:r>
        <w:rPr>
          <w:rFonts w:hint="eastAsia" w:ascii="宋体" w:hAnsi="宋体" w:eastAsia="宋体" w:cs="宋体"/>
          <w:b w:val="0"/>
          <w:bCs w:val="0"/>
          <w:color w:val="auto"/>
          <w:spacing w:val="-5"/>
          <w:kern w:val="2"/>
          <w:sz w:val="24"/>
          <w:szCs w:val="24"/>
          <w:highlight w:val="none"/>
          <w:lang w:val="en-US" w:eastAsia="en-US" w:bidi="ar-SA"/>
        </w:rPr>
        <w:t>1、本项目属于“交钥匙工程”供应商应充分考虑所有设备及辅材，确保实现本项目需求中所有功能。响应报价包含所有费用，成交后不得以任何理由增加费用。</w:t>
      </w:r>
    </w:p>
    <w:p w14:paraId="621EB93E">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en-US" w:bidi="ar-SA"/>
        </w:rPr>
      </w:pPr>
      <w:r>
        <w:rPr>
          <w:rFonts w:hint="eastAsia" w:ascii="宋体" w:hAnsi="宋体" w:eastAsia="宋体" w:cs="宋体"/>
          <w:b w:val="0"/>
          <w:bCs w:val="0"/>
          <w:color w:val="auto"/>
          <w:spacing w:val="-5"/>
          <w:kern w:val="2"/>
          <w:sz w:val="24"/>
          <w:szCs w:val="24"/>
          <w:highlight w:val="none"/>
          <w:lang w:val="en-US" w:eastAsia="en-US" w:bidi="ar-SA"/>
        </w:rPr>
        <w:t>2、所有设备及辅材应符合国家相关标准。</w:t>
      </w:r>
    </w:p>
    <w:p w14:paraId="2D157784">
      <w:pPr>
        <w:keepNext w:val="0"/>
        <w:keepLines w:val="0"/>
        <w:pageBreakBefore w:val="0"/>
        <w:numPr>
          <w:ilvl w:val="0"/>
          <w:numId w:val="0"/>
        </w:numPr>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b w:val="0"/>
          <w:bCs w:val="0"/>
          <w:color w:val="auto"/>
          <w:spacing w:val="-5"/>
          <w:kern w:val="2"/>
          <w:sz w:val="24"/>
          <w:szCs w:val="24"/>
          <w:highlight w:val="none"/>
          <w:lang w:val="en-US" w:eastAsia="en-US" w:bidi="ar-SA"/>
        </w:rPr>
      </w:pPr>
    </w:p>
    <w:p w14:paraId="7FC9C90F">
      <w:pPr>
        <w:keepNext w:val="0"/>
        <w:keepLines w:val="0"/>
        <w:pageBreakBefore w:val="0"/>
        <w:numPr>
          <w:ilvl w:val="0"/>
          <w:numId w:val="8"/>
        </w:numPr>
        <w:kinsoku/>
        <w:wordWrap/>
        <w:overflowPunct/>
        <w:topLinePunct w:val="0"/>
        <w:autoSpaceDE/>
        <w:autoSpaceDN/>
        <w:bidi w:val="0"/>
        <w:adjustRightInd/>
        <w:snapToGrid/>
        <w:spacing w:line="360" w:lineRule="auto"/>
        <w:ind w:left="0" w:right="0" w:firstLine="231" w:firstLineChars="100"/>
        <w:jc w:val="both"/>
        <w:textAlignment w:val="auto"/>
        <w:rPr>
          <w:rFonts w:hint="eastAsia" w:ascii="宋体" w:hAnsi="宋体" w:eastAsia="宋体" w:cs="宋体"/>
          <w:b/>
          <w:bCs/>
          <w:color w:val="auto"/>
          <w:spacing w:val="-5"/>
          <w:kern w:val="2"/>
          <w:sz w:val="24"/>
          <w:szCs w:val="24"/>
          <w:highlight w:val="none"/>
          <w:lang w:val="en-US" w:eastAsia="zh-CN" w:bidi="ar-SA"/>
        </w:rPr>
      </w:pPr>
      <w:r>
        <w:rPr>
          <w:rFonts w:hint="eastAsia" w:ascii="宋体" w:hAnsi="宋体" w:eastAsia="宋体" w:cs="宋体"/>
          <w:b/>
          <w:bCs/>
          <w:color w:val="auto"/>
          <w:spacing w:val="-5"/>
          <w:kern w:val="2"/>
          <w:sz w:val="24"/>
          <w:szCs w:val="24"/>
          <w:highlight w:val="none"/>
          <w:lang w:val="en-US" w:eastAsia="zh-CN" w:bidi="ar-SA"/>
        </w:rPr>
        <w:t>采购清单</w:t>
      </w:r>
    </w:p>
    <w:p w14:paraId="7AB4F422">
      <w:pPr>
        <w:keepNext w:val="0"/>
        <w:keepLines w:val="0"/>
        <w:pageBreakBefore w:val="0"/>
        <w:numPr>
          <w:ilvl w:val="0"/>
          <w:numId w:val="9"/>
        </w:numPr>
        <w:kinsoku/>
        <w:wordWrap/>
        <w:overflowPunct/>
        <w:topLinePunct w:val="0"/>
        <w:autoSpaceDE/>
        <w:autoSpaceDN/>
        <w:bidi w:val="0"/>
        <w:adjustRightInd/>
        <w:snapToGrid/>
        <w:spacing w:line="360" w:lineRule="auto"/>
        <w:ind w:leftChars="100" w:right="0" w:rightChars="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因各供应商无线部署方案差别，本次采购中“</w:t>
      </w:r>
      <w:r>
        <w:rPr>
          <w:rFonts w:hint="eastAsia" w:ascii="宋体" w:hAnsi="宋体" w:eastAsia="宋体" w:cs="宋体"/>
          <w:b w:val="0"/>
          <w:bCs w:val="0"/>
          <w:color w:val="auto"/>
          <w:kern w:val="2"/>
          <w:sz w:val="24"/>
          <w:szCs w:val="24"/>
          <w:highlight w:val="none"/>
          <w:lang w:val="en-US" w:eastAsia="zh-CN" w:bidi="ar-SA"/>
        </w:rPr>
        <w:t>核心设备参数</w:t>
      </w:r>
      <w:r>
        <w:rPr>
          <w:rFonts w:hint="eastAsia" w:ascii="宋体" w:hAnsi="宋体" w:eastAsia="宋体" w:cs="宋体"/>
          <w:b w:val="0"/>
          <w:bCs w:val="0"/>
          <w:color w:val="auto"/>
          <w:spacing w:val="-5"/>
          <w:kern w:val="2"/>
          <w:sz w:val="24"/>
          <w:szCs w:val="24"/>
          <w:highlight w:val="none"/>
          <w:lang w:val="en-US" w:eastAsia="zh-CN" w:bidi="ar-SA"/>
        </w:rPr>
        <w:t>”必须全部满足</w:t>
      </w:r>
      <w:r>
        <w:rPr>
          <w:rFonts w:hint="eastAsia" w:ascii="宋体" w:hAnsi="宋体" w:cs="宋体"/>
          <w:b w:val="0"/>
          <w:bCs w:val="0"/>
          <w:color w:val="auto"/>
          <w:spacing w:val="-5"/>
          <w:kern w:val="2"/>
          <w:sz w:val="24"/>
          <w:szCs w:val="24"/>
          <w:highlight w:val="none"/>
          <w:lang w:val="en-US" w:eastAsia="zh-CN" w:bidi="ar-SA"/>
        </w:rPr>
        <w:t>，否则按无效响应处理</w:t>
      </w:r>
      <w:r>
        <w:rPr>
          <w:rFonts w:hint="eastAsia" w:ascii="宋体" w:hAnsi="宋体" w:eastAsia="宋体" w:cs="宋体"/>
          <w:b w:val="0"/>
          <w:bCs w:val="0"/>
          <w:color w:val="auto"/>
          <w:spacing w:val="-5"/>
          <w:kern w:val="2"/>
          <w:sz w:val="24"/>
          <w:szCs w:val="24"/>
          <w:highlight w:val="none"/>
          <w:lang w:val="en-US" w:eastAsia="zh-CN" w:bidi="ar-SA"/>
        </w:rPr>
        <w:t>，</w:t>
      </w:r>
      <w:r>
        <w:rPr>
          <w:rFonts w:hint="eastAsia" w:ascii="宋体" w:hAnsi="宋体" w:cs="宋体"/>
          <w:b w:val="0"/>
          <w:bCs w:val="0"/>
          <w:color w:val="auto"/>
          <w:spacing w:val="-5"/>
          <w:kern w:val="2"/>
          <w:sz w:val="24"/>
          <w:szCs w:val="24"/>
          <w:highlight w:val="none"/>
          <w:lang w:val="en-US" w:eastAsia="zh-CN" w:bidi="ar-SA"/>
        </w:rPr>
        <w:t>未明确部分</w:t>
      </w:r>
      <w:r>
        <w:rPr>
          <w:rFonts w:hint="eastAsia" w:ascii="宋体" w:hAnsi="宋体" w:eastAsia="宋体" w:cs="宋体"/>
          <w:b w:val="0"/>
          <w:bCs w:val="0"/>
          <w:color w:val="auto"/>
          <w:spacing w:val="-5"/>
          <w:kern w:val="2"/>
          <w:sz w:val="24"/>
          <w:szCs w:val="24"/>
          <w:highlight w:val="none"/>
          <w:lang w:val="en-US" w:eastAsia="zh-CN" w:bidi="ar-SA"/>
        </w:rPr>
        <w:t>投标人根据实际</w:t>
      </w:r>
      <w:r>
        <w:rPr>
          <w:rFonts w:hint="eastAsia" w:ascii="宋体" w:hAnsi="宋体" w:cs="宋体"/>
          <w:b w:val="0"/>
          <w:bCs w:val="0"/>
          <w:color w:val="auto"/>
          <w:spacing w:val="-5"/>
          <w:kern w:val="2"/>
          <w:sz w:val="24"/>
          <w:szCs w:val="24"/>
          <w:highlight w:val="none"/>
          <w:lang w:val="en-US" w:eastAsia="zh-CN" w:bidi="ar-SA"/>
        </w:rPr>
        <w:t>业务开展</w:t>
      </w:r>
      <w:r>
        <w:rPr>
          <w:rFonts w:hint="eastAsia" w:ascii="宋体" w:hAnsi="宋体" w:eastAsia="宋体" w:cs="宋体"/>
          <w:b w:val="0"/>
          <w:bCs w:val="0"/>
          <w:color w:val="auto"/>
          <w:spacing w:val="-5"/>
          <w:kern w:val="2"/>
          <w:sz w:val="24"/>
          <w:szCs w:val="24"/>
          <w:highlight w:val="none"/>
          <w:lang w:val="en-US" w:eastAsia="zh-CN" w:bidi="ar-SA"/>
        </w:rPr>
        <w:t>需要自行</w:t>
      </w:r>
      <w:r>
        <w:rPr>
          <w:rFonts w:hint="eastAsia" w:ascii="宋体" w:hAnsi="宋体" w:cs="宋体"/>
          <w:b w:val="0"/>
          <w:bCs w:val="0"/>
          <w:color w:val="auto"/>
          <w:spacing w:val="-5"/>
          <w:kern w:val="2"/>
          <w:sz w:val="24"/>
          <w:szCs w:val="24"/>
          <w:highlight w:val="none"/>
          <w:lang w:val="en-US" w:eastAsia="zh-CN" w:bidi="ar-SA"/>
        </w:rPr>
        <w:t>填报</w:t>
      </w:r>
      <w:r>
        <w:rPr>
          <w:rFonts w:hint="eastAsia" w:ascii="宋体" w:hAnsi="宋体" w:eastAsia="宋体" w:cs="宋体"/>
          <w:b w:val="0"/>
          <w:bCs w:val="0"/>
          <w:color w:val="auto"/>
          <w:spacing w:val="-5"/>
          <w:kern w:val="2"/>
          <w:sz w:val="24"/>
          <w:szCs w:val="24"/>
          <w:highlight w:val="none"/>
          <w:lang w:val="en-US" w:eastAsia="zh-CN" w:bidi="ar-SA"/>
        </w:rPr>
        <w:t>。</w:t>
      </w:r>
    </w:p>
    <w:p w14:paraId="0F46121F">
      <w:pPr>
        <w:keepNext w:val="0"/>
        <w:keepLines w:val="0"/>
        <w:pageBreakBefore w:val="0"/>
        <w:numPr>
          <w:ilvl w:val="0"/>
          <w:numId w:val="9"/>
        </w:numPr>
        <w:kinsoku/>
        <w:wordWrap/>
        <w:overflowPunct/>
        <w:topLinePunct w:val="0"/>
        <w:autoSpaceDE/>
        <w:autoSpaceDN/>
        <w:bidi w:val="0"/>
        <w:adjustRightInd/>
        <w:snapToGrid/>
        <w:spacing w:line="360" w:lineRule="auto"/>
        <w:ind w:leftChars="100" w:right="0" w:rightChars="0"/>
        <w:jc w:val="both"/>
        <w:textAlignment w:val="auto"/>
        <w:rPr>
          <w:rFonts w:hint="default"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投标人应充分考虑本项目建设目标和相关建设要求。</w:t>
      </w:r>
    </w:p>
    <w:tbl>
      <w:tblPr>
        <w:tblStyle w:val="33"/>
        <w:tblW w:w="8859"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395"/>
        <w:gridCol w:w="5266"/>
        <w:gridCol w:w="711"/>
        <w:gridCol w:w="767"/>
      </w:tblGrid>
      <w:tr w14:paraId="481B0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59" w:type="dxa"/>
            <w:gridSpan w:val="5"/>
            <w:shd w:val="clear" w:color="auto" w:fill="FFFFFF"/>
            <w:noWrap/>
            <w:vAlign w:val="center"/>
          </w:tcPr>
          <w:p w14:paraId="41FDB727">
            <w:pPr>
              <w:widowControl/>
              <w:jc w:val="center"/>
              <w:textAlignment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核心设备参数</w:t>
            </w:r>
          </w:p>
        </w:tc>
      </w:tr>
      <w:tr w14:paraId="336B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60087002">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序号</w:t>
            </w:r>
          </w:p>
        </w:tc>
        <w:tc>
          <w:tcPr>
            <w:tcW w:w="1395" w:type="dxa"/>
            <w:shd w:val="clear" w:color="auto" w:fill="FFFFFF"/>
            <w:noWrap/>
            <w:vAlign w:val="center"/>
          </w:tcPr>
          <w:p w14:paraId="131E8587">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设备名称</w:t>
            </w:r>
          </w:p>
        </w:tc>
        <w:tc>
          <w:tcPr>
            <w:tcW w:w="5266" w:type="dxa"/>
            <w:shd w:val="clear" w:color="auto" w:fill="FFFFFF"/>
            <w:noWrap/>
            <w:vAlign w:val="center"/>
          </w:tcPr>
          <w:p w14:paraId="5F5911F8">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技术参数</w:t>
            </w:r>
          </w:p>
        </w:tc>
        <w:tc>
          <w:tcPr>
            <w:tcW w:w="711" w:type="dxa"/>
            <w:shd w:val="clear" w:color="auto" w:fill="FFFFFF"/>
            <w:noWrap/>
            <w:vAlign w:val="center"/>
          </w:tcPr>
          <w:p w14:paraId="698C1B1C">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单位</w:t>
            </w:r>
          </w:p>
        </w:tc>
        <w:tc>
          <w:tcPr>
            <w:tcW w:w="767" w:type="dxa"/>
            <w:shd w:val="clear" w:color="auto" w:fill="FFFFFF"/>
            <w:noWrap/>
            <w:vAlign w:val="center"/>
          </w:tcPr>
          <w:p w14:paraId="5ACFDA75">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数量</w:t>
            </w:r>
          </w:p>
        </w:tc>
      </w:tr>
      <w:tr w14:paraId="3645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6" w:hRule="atLeast"/>
        </w:trPr>
        <w:tc>
          <w:tcPr>
            <w:tcW w:w="720" w:type="dxa"/>
            <w:shd w:val="clear" w:color="auto" w:fill="FFFFFF"/>
            <w:noWrap/>
            <w:vAlign w:val="center"/>
          </w:tcPr>
          <w:p w14:paraId="0B191BE0">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w:t>
            </w:r>
          </w:p>
        </w:tc>
        <w:tc>
          <w:tcPr>
            <w:tcW w:w="1395" w:type="dxa"/>
            <w:shd w:val="clear" w:color="auto" w:fill="FFFFFF"/>
            <w:noWrap/>
            <w:vAlign w:val="center"/>
          </w:tcPr>
          <w:p w14:paraId="22F9A68C">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外网核心交换机</w:t>
            </w:r>
          </w:p>
        </w:tc>
        <w:tc>
          <w:tcPr>
            <w:tcW w:w="5266" w:type="dxa"/>
            <w:shd w:val="clear" w:color="auto" w:fill="FFFFFF"/>
            <w:noWrap/>
            <w:vAlign w:val="center"/>
          </w:tcPr>
          <w:p w14:paraId="7DDFFA7B">
            <w:pPr>
              <w:widowControl/>
              <w:numPr>
                <w:ilvl w:val="0"/>
                <w:numId w:val="10"/>
              </w:numPr>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交换容量≥160Tbps，转发性能≥12600Mpps；（</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val="en-US" w:eastAsia="zh-CN" w:bidi="ar"/>
              </w:rPr>
              <w:t>提供所投产品官网截图</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2.采用</w:t>
            </w:r>
            <w:r>
              <w:rPr>
                <w:rFonts w:hint="eastAsia" w:ascii="宋体" w:hAnsi="宋体" w:eastAsia="宋体" w:cs="宋体"/>
                <w:color w:val="auto"/>
                <w:kern w:val="0"/>
                <w:szCs w:val="21"/>
                <w:highlight w:val="none"/>
                <w:lang w:val="en-US" w:eastAsia="zh-CN" w:bidi="ar"/>
              </w:rPr>
              <w:t>先进分布</w:t>
            </w:r>
            <w:r>
              <w:rPr>
                <w:rFonts w:hint="eastAsia" w:ascii="宋体" w:hAnsi="宋体" w:eastAsia="宋体" w:cs="宋体"/>
                <w:color w:val="auto"/>
                <w:kern w:val="0"/>
                <w:szCs w:val="21"/>
                <w:highlight w:val="none"/>
                <w:lang w:bidi="ar"/>
              </w:rPr>
              <w:t>交换架构，实现转发与控制平面分离，支持独立接口板，要求独立业务插槽≥6个；</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3.设备支持灵活插卡，模块化设计，</w:t>
            </w:r>
            <w:r>
              <w:rPr>
                <w:rFonts w:hint="eastAsia" w:ascii="宋体" w:hAnsi="宋体" w:eastAsia="宋体" w:cs="宋体"/>
                <w:color w:val="auto"/>
                <w:kern w:val="0"/>
                <w:szCs w:val="21"/>
                <w:highlight w:val="none"/>
                <w:lang w:val="en-US" w:eastAsia="zh-CN" w:bidi="ar"/>
              </w:rPr>
              <w:t>配置</w:t>
            </w:r>
            <w:r>
              <w:rPr>
                <w:rFonts w:hint="eastAsia" w:ascii="宋体" w:hAnsi="宋体" w:eastAsia="宋体" w:cs="宋体"/>
                <w:color w:val="auto"/>
                <w:kern w:val="0"/>
                <w:szCs w:val="21"/>
                <w:highlight w:val="none"/>
                <w:lang w:bidi="ar"/>
              </w:rPr>
              <w:t>可</w:t>
            </w:r>
            <w:r>
              <w:rPr>
                <w:rFonts w:hint="eastAsia" w:ascii="宋体" w:hAnsi="宋体" w:eastAsia="宋体" w:cs="宋体"/>
                <w:color w:val="auto"/>
                <w:kern w:val="0"/>
                <w:szCs w:val="21"/>
                <w:highlight w:val="none"/>
                <w:lang w:val="en-US" w:eastAsia="zh-CN" w:bidi="ar"/>
              </w:rPr>
              <w:t>热</w:t>
            </w:r>
            <w:r>
              <w:rPr>
                <w:rFonts w:hint="eastAsia" w:ascii="宋体" w:hAnsi="宋体" w:eastAsia="宋体" w:cs="宋体"/>
                <w:color w:val="auto"/>
                <w:kern w:val="0"/>
                <w:szCs w:val="21"/>
                <w:highlight w:val="none"/>
                <w:lang w:bidi="ar"/>
              </w:rPr>
              <w:t>插拔双模块电源，支持主备、负载均衡模式应对单点故障；</w:t>
            </w:r>
          </w:p>
          <w:p w14:paraId="5F26D3A4">
            <w:pPr>
              <w:widowControl/>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Cs w:val="21"/>
                <w:highlight w:val="none"/>
                <w:lang w:bidi="ar"/>
              </w:rPr>
              <w:t>4.配置主控引擎2个，冗余电源2个，千兆电口≥24个，万兆光口≥16个。</w:t>
            </w:r>
          </w:p>
        </w:tc>
        <w:tc>
          <w:tcPr>
            <w:tcW w:w="711" w:type="dxa"/>
            <w:shd w:val="clear" w:color="auto" w:fill="FFFFFF"/>
            <w:noWrap/>
            <w:vAlign w:val="center"/>
          </w:tcPr>
          <w:p w14:paraId="3900F6B0">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台</w:t>
            </w:r>
          </w:p>
        </w:tc>
        <w:tc>
          <w:tcPr>
            <w:tcW w:w="767" w:type="dxa"/>
            <w:shd w:val="clear" w:color="auto" w:fill="FFFFFF"/>
            <w:noWrap/>
            <w:vAlign w:val="center"/>
          </w:tcPr>
          <w:p w14:paraId="0B801354">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w:t>
            </w:r>
          </w:p>
        </w:tc>
      </w:tr>
      <w:tr w14:paraId="0B94A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shd w:val="clear" w:color="auto" w:fill="FFFFFF"/>
            <w:noWrap/>
            <w:vAlign w:val="center"/>
          </w:tcPr>
          <w:p w14:paraId="5E128B26">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395" w:type="dxa"/>
            <w:shd w:val="clear" w:color="auto" w:fill="FFFFFF"/>
            <w:noWrap/>
            <w:vAlign w:val="center"/>
          </w:tcPr>
          <w:p w14:paraId="6C6740D0">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24口万兆POE交换机</w:t>
            </w:r>
          </w:p>
        </w:tc>
        <w:tc>
          <w:tcPr>
            <w:tcW w:w="5266" w:type="dxa"/>
            <w:shd w:val="clear" w:color="auto" w:fill="FFFFFF"/>
            <w:noWrap/>
            <w:vAlign w:val="center"/>
          </w:tcPr>
          <w:p w14:paraId="7F32DB10">
            <w:pPr>
              <w:widowControl/>
              <w:numPr>
                <w:ilvl w:val="0"/>
                <w:numId w:val="11"/>
              </w:numPr>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固化千兆电接口≥24个，SFP+万兆光接口≥4个,支持POE和POE+,同时可POE供电端口≥24个，POE最大输出功率≥370W；</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2.交换容量≥3.36Tbps，转发性能≥126Mpps；</w:t>
            </w:r>
          </w:p>
          <w:p w14:paraId="25942477">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3.交换机需具有完备的用户认证、管理功能；</w:t>
            </w:r>
            <w:r>
              <w:rPr>
                <w:rFonts w:hint="eastAsia" w:ascii="宋体" w:hAnsi="宋体" w:eastAsia="宋体" w:cs="宋体"/>
                <w:color w:val="auto"/>
                <w:kern w:val="0"/>
                <w:szCs w:val="21"/>
                <w:highlight w:val="none"/>
                <w:lang w:val="en-US" w:eastAsia="zh-CN" w:bidi="ar"/>
              </w:rPr>
              <w:t>支持</w:t>
            </w:r>
            <w:r>
              <w:rPr>
                <w:rFonts w:hint="eastAsia" w:ascii="宋体" w:hAnsi="宋体" w:eastAsia="宋体" w:cs="宋体"/>
                <w:color w:val="auto"/>
                <w:kern w:val="0"/>
                <w:szCs w:val="21"/>
                <w:highlight w:val="none"/>
                <w:lang w:bidi="ar"/>
              </w:rPr>
              <w:t>IEEE802.1x准入认证，支持RADIUS安全特性。</w:t>
            </w:r>
          </w:p>
        </w:tc>
        <w:tc>
          <w:tcPr>
            <w:tcW w:w="711" w:type="dxa"/>
            <w:shd w:val="clear" w:color="auto" w:fill="FFFFFF"/>
            <w:noWrap/>
            <w:vAlign w:val="center"/>
          </w:tcPr>
          <w:p w14:paraId="13AC231A">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台</w:t>
            </w:r>
          </w:p>
        </w:tc>
        <w:tc>
          <w:tcPr>
            <w:tcW w:w="767" w:type="dxa"/>
            <w:shd w:val="clear" w:color="auto" w:fill="FFFFFF"/>
            <w:noWrap/>
            <w:vAlign w:val="center"/>
          </w:tcPr>
          <w:p w14:paraId="66F0B44D">
            <w:pPr>
              <w:widowControl/>
              <w:jc w:val="center"/>
              <w:textAlignment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r>
      <w:tr w14:paraId="17320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2F598FF4">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3</w:t>
            </w:r>
          </w:p>
        </w:tc>
        <w:tc>
          <w:tcPr>
            <w:tcW w:w="1395" w:type="dxa"/>
            <w:shd w:val="clear" w:color="auto" w:fill="FFFFFF"/>
            <w:noWrap/>
            <w:vAlign w:val="center"/>
          </w:tcPr>
          <w:p w14:paraId="3C253756">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无线认证</w:t>
            </w:r>
          </w:p>
        </w:tc>
        <w:tc>
          <w:tcPr>
            <w:tcW w:w="5266" w:type="dxa"/>
            <w:shd w:val="clear" w:color="auto" w:fill="FFFFFF"/>
            <w:noWrap/>
            <w:vAlign w:val="center"/>
          </w:tcPr>
          <w:p w14:paraId="1B902FE6">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1.1U硬件化设备，GE电口≥6个，USB口≥2个；</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2.内置Portal和802.1x功能，支持MAC地址认证，支持短信认证；</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与第三方Radius联动</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，将认证信息转发给第三方Radius服务器进行认证，实现统一身份源；</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4.具备基于终端设备指纹包含但不限于：终端硬盘序列号、SSID、用户用户名、用户密码、终端IP、终端MAC、网络访问控制设备（NAS）IP、NAS端口多元素的主动学习以及各元素的灵活组合绑定；</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5.具备认证页面合并功能，在同一认证页面可选择普通用户、短信、二维码（接待人员扫描访客二维码和访客扫描接待人员二维码）等多种认证方式；（</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6.使用用户名密码+手机号及短信获取的6位数随机校验码作为认证要素进行双因子认证；</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7.配置</w:t>
            </w:r>
            <w:r>
              <w:rPr>
                <w:rFonts w:hint="eastAsia" w:ascii="宋体" w:hAnsi="宋体" w:eastAsia="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3000个并发用户许可。</w:t>
            </w:r>
          </w:p>
        </w:tc>
        <w:tc>
          <w:tcPr>
            <w:tcW w:w="711" w:type="dxa"/>
            <w:shd w:val="clear" w:color="auto" w:fill="FFFFFF"/>
            <w:noWrap/>
            <w:vAlign w:val="center"/>
          </w:tcPr>
          <w:p w14:paraId="1AAA022C">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套</w:t>
            </w:r>
          </w:p>
        </w:tc>
        <w:tc>
          <w:tcPr>
            <w:tcW w:w="767" w:type="dxa"/>
            <w:shd w:val="clear" w:color="auto" w:fill="FFFFFF"/>
            <w:noWrap/>
            <w:vAlign w:val="center"/>
          </w:tcPr>
          <w:p w14:paraId="2B51E2A2">
            <w:pPr>
              <w:widowControl/>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r>
      <w:tr w14:paraId="7DA23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48F5A8AD">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4</w:t>
            </w:r>
          </w:p>
        </w:tc>
        <w:tc>
          <w:tcPr>
            <w:tcW w:w="1395" w:type="dxa"/>
            <w:shd w:val="clear" w:color="auto" w:fill="FFFFFF"/>
            <w:noWrap/>
            <w:vAlign w:val="center"/>
          </w:tcPr>
          <w:p w14:paraId="5937C663">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无线网络优化系统</w:t>
            </w:r>
          </w:p>
        </w:tc>
        <w:tc>
          <w:tcPr>
            <w:tcW w:w="5266" w:type="dxa"/>
            <w:shd w:val="clear" w:color="auto" w:fill="FFFFFF"/>
            <w:noWrap/>
            <w:vAlign w:val="center"/>
          </w:tcPr>
          <w:p w14:paraId="474444BD">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1.具备可视化体验</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 xml:space="preserve">设备稳定度、信号覆盖度、关联稳定度、在线体验、网络饱和度、用户活跃度查询功能；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2.具备无线网络体验差问题分析</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 xml:space="preserve">，具备从区域、干扰、覆盖、接入、认证等维度分析定位体验问题。包括分析问题区域、信道率利用率高的无线接入点，覆盖不足的无线接入点、接入失败问题分类、认证失败导致的占比趋势等；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监控告警功能，</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终端的体验指标进行监控告警追踪，告知终端问题出现原因和出现的地点，提供解决方案建议；告警阈值可自定义，包括信道利用率、异常掉线、丢包率、时延、来回漫游、反复关联等指标的阈值设置，告警记录可查，</w:t>
            </w:r>
            <w:r>
              <w:rPr>
                <w:rFonts w:hint="eastAsia" w:ascii="宋体" w:hAnsi="宋体" w:eastAsia="宋体" w:cs="宋体"/>
                <w:color w:val="auto"/>
                <w:kern w:val="0"/>
                <w:szCs w:val="21"/>
                <w:highlight w:val="none"/>
                <w:lang w:val="en-US" w:eastAsia="zh-CN" w:bidi="ar"/>
              </w:rPr>
              <w:t>可</w:t>
            </w:r>
            <w:r>
              <w:rPr>
                <w:rFonts w:hint="eastAsia" w:ascii="宋体" w:hAnsi="宋体" w:eastAsia="宋体" w:cs="宋体"/>
                <w:color w:val="auto"/>
                <w:kern w:val="0"/>
                <w:szCs w:val="21"/>
                <w:highlight w:val="none"/>
                <w:lang w:bidi="ar"/>
              </w:rPr>
              <w:t>保存</w:t>
            </w:r>
            <w:r>
              <w:rPr>
                <w:rFonts w:hint="eastAsia" w:ascii="宋体" w:hAnsi="宋体" w:eastAsia="宋体" w:cs="宋体"/>
                <w:color w:val="auto"/>
                <w:kern w:val="0"/>
                <w:szCs w:val="21"/>
                <w:highlight w:val="none"/>
                <w:lang w:val="en-US" w:eastAsia="zh-CN" w:bidi="ar"/>
              </w:rPr>
              <w:t>≥180</w:t>
            </w:r>
            <w:r>
              <w:rPr>
                <w:rFonts w:hint="eastAsia" w:ascii="宋体" w:hAnsi="宋体" w:eastAsia="宋体" w:cs="宋体"/>
                <w:color w:val="auto"/>
                <w:kern w:val="0"/>
                <w:szCs w:val="21"/>
                <w:highlight w:val="none"/>
                <w:lang w:bidi="ar"/>
              </w:rPr>
              <w:t xml:space="preserve">天的终端问题分析和历史连接记录；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4.</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终端接入问题诊断</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 xml:space="preserve">按时间、无线接入点以可视化方式呈现接入过程的问题，识别出正常、异常、未接入状态。支持协议报文级的交互呈现和精细化问题诊断，可以呈现协议交互阶段结果与耗时，并提供用户接入失败的根因与排障建议；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5.</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一键诊断功能，诊断内容包括设备检测、配置检测、覆盖检测、信道利用率检测；能够分析存在的问题以及提供建议；（</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 xml:space="preserve">6.具备时间胶囊功能，分析设备版本及配置变更历史，便于故障回溯；能够对比配置的差异点；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 xml:space="preserve">7.具备为无线接入点、无线控制器、网关、交换机、物联网设备、路由器的统一接入和管理维护；提供批量配置、批量升级、建立隧道穿透内网访问、在线命令调试等运维功能；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 xml:space="preserve">8.具备记录配置、版本、新增无线接入点、配置规划下发、网优操作导入的变化，并能跟踪变化前后的在线终端数、终端流量、接入异常数、平均丢包率、平均时延等网络变化；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9.具备网络拓扑发现功能:整网拓扑一键发现，生成拓扑，并自动完成出口下联设备的注册；（</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10.具备漫游粘滞现象优化功能，可以对终端漫游粘滞现象进行优化，使终端主动连接至信号更优的无线接入点。</w:t>
            </w:r>
          </w:p>
        </w:tc>
        <w:tc>
          <w:tcPr>
            <w:tcW w:w="711" w:type="dxa"/>
            <w:shd w:val="clear" w:color="auto" w:fill="FFFFFF"/>
            <w:noWrap/>
            <w:vAlign w:val="center"/>
          </w:tcPr>
          <w:p w14:paraId="7FF3C28F">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套</w:t>
            </w:r>
          </w:p>
        </w:tc>
        <w:tc>
          <w:tcPr>
            <w:tcW w:w="767" w:type="dxa"/>
            <w:shd w:val="clear" w:color="auto" w:fill="FFFFFF"/>
            <w:noWrap/>
            <w:vAlign w:val="center"/>
          </w:tcPr>
          <w:p w14:paraId="5E2184C2">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r>
      <w:tr w14:paraId="205A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6D74E6DE">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5</w:t>
            </w:r>
          </w:p>
        </w:tc>
        <w:tc>
          <w:tcPr>
            <w:tcW w:w="1395" w:type="dxa"/>
            <w:shd w:val="clear" w:color="auto" w:fill="FFFFFF"/>
            <w:noWrap/>
            <w:vAlign w:val="center"/>
          </w:tcPr>
          <w:p w14:paraId="793A5512">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无线控制器</w:t>
            </w:r>
          </w:p>
        </w:tc>
        <w:tc>
          <w:tcPr>
            <w:tcW w:w="5266" w:type="dxa"/>
            <w:shd w:val="clear" w:color="auto" w:fill="FFFFFF"/>
            <w:noWrap/>
            <w:vAlign w:val="center"/>
          </w:tcPr>
          <w:p w14:paraId="6DBC5C47">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1.SFP+万兆光口≥2个；​</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2.最大可支持管理AP数≥512 ，最大可配置AP数≥2048，802.11转发性能≥10G；（</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3.具备本地认证功能，无需通过外置Portal服务器和Radius服务器即可实现认证；​</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4.具备访客通过二维码授权的方式接入无线网络</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5.AC设备多账户分权管理功能，各账户分别管理不同的无线信息；​</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6.具备无线控制器具备AP逃生功能，当在AC不可达造成AP离线时，离线的AP能够继续维持已经接入的终端保持业务正常，提升无线网络的可靠性；</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7.具备无线控制器具备频谱导航功能，支持实时频谱防护，支持无线用户隔离功能，可实现对非法无线接入点进行探测；​</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8.具备无线控制器具备ARP攻击防护功能和黑白名单控制功能；​</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9.支持MAC认证、WEB认证、802.1X认证，认证后能实现IP地址、MAC地址、WLAN等元素的绑定信息，保证只有合法的用户才能进入网络；</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10.配置≥256个无线AP管理授权。</w:t>
            </w:r>
          </w:p>
        </w:tc>
        <w:tc>
          <w:tcPr>
            <w:tcW w:w="711" w:type="dxa"/>
            <w:shd w:val="clear" w:color="auto" w:fill="FFFFFF"/>
            <w:noWrap/>
            <w:vAlign w:val="center"/>
          </w:tcPr>
          <w:p w14:paraId="532AD553">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台</w:t>
            </w:r>
          </w:p>
        </w:tc>
        <w:tc>
          <w:tcPr>
            <w:tcW w:w="767" w:type="dxa"/>
            <w:shd w:val="clear" w:color="auto" w:fill="FFFFFF"/>
            <w:noWrap/>
            <w:vAlign w:val="center"/>
          </w:tcPr>
          <w:p w14:paraId="485DF97B">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r>
    </w:tbl>
    <w:p w14:paraId="7BAE381D">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25549F7F">
      <w:pPr>
        <w:jc w:val="center"/>
        <w:rPr>
          <w:rFonts w:hint="eastAsia" w:ascii="Calibri" w:hAnsi="Calibri" w:eastAsia="宋体" w:cs="Times New Roman"/>
          <w:b/>
          <w:bCs/>
          <w:color w:val="auto"/>
          <w:sz w:val="28"/>
          <w:szCs w:val="28"/>
          <w:highlight w:val="none"/>
          <w:lang w:val="en-US" w:eastAsia="zh-CN"/>
        </w:rPr>
      </w:pPr>
      <w:r>
        <w:rPr>
          <w:rFonts w:hint="eastAsia" w:ascii="Calibri" w:hAnsi="Calibri" w:eastAsia="宋体" w:cs="Times New Roman"/>
          <w:b/>
          <w:bCs/>
          <w:color w:val="auto"/>
          <w:sz w:val="28"/>
          <w:szCs w:val="28"/>
          <w:highlight w:val="none"/>
          <w:lang w:val="en-US" w:eastAsia="zh-CN"/>
        </w:rPr>
        <w:t>舒城县人民医院无线网络覆盖服务采购项目</w:t>
      </w:r>
    </w:p>
    <w:p w14:paraId="6DD1897F">
      <w:pPr>
        <w:jc w:val="center"/>
        <w:rPr>
          <w:rFonts w:hint="eastAsia" w:ascii="Calibri" w:hAnsi="Calibri" w:eastAsia="宋体" w:cs="Times New Roman"/>
          <w:b/>
          <w:bCs/>
          <w:color w:val="auto"/>
          <w:sz w:val="28"/>
          <w:szCs w:val="28"/>
          <w:highlight w:val="none"/>
          <w:lang w:val="en-US" w:eastAsia="zh-CN"/>
        </w:rPr>
      </w:pPr>
      <w:r>
        <w:rPr>
          <w:rFonts w:hint="eastAsia" w:ascii="Calibri" w:hAnsi="Calibri" w:eastAsia="宋体" w:cs="Times New Roman"/>
          <w:b/>
          <w:bCs/>
          <w:color w:val="auto"/>
          <w:sz w:val="28"/>
          <w:szCs w:val="28"/>
          <w:highlight w:val="none"/>
          <w:lang w:val="en-US" w:eastAsia="zh-CN"/>
        </w:rPr>
        <w:t>履约考核方案</w:t>
      </w:r>
    </w:p>
    <w:p w14:paraId="606B308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一、考核目的</w:t>
      </w:r>
    </w:p>
    <w:p w14:paraId="7CF5AF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为规范</w:t>
      </w:r>
      <w:r>
        <w:rPr>
          <w:rFonts w:hint="eastAsia" w:ascii="Calibri" w:hAnsi="Calibri" w:eastAsia="宋体" w:cs="Times New Roman"/>
          <w:color w:val="auto"/>
          <w:sz w:val="24"/>
          <w:szCs w:val="24"/>
          <w:highlight w:val="none"/>
          <w:lang w:val="en-US" w:eastAsia="zh-CN"/>
        </w:rPr>
        <w:t>本项目服务</w:t>
      </w:r>
      <w:r>
        <w:rPr>
          <w:rFonts w:hint="default" w:ascii="Calibri" w:hAnsi="Calibri" w:eastAsia="宋体" w:cs="Times New Roman"/>
          <w:color w:val="auto"/>
          <w:sz w:val="24"/>
          <w:szCs w:val="24"/>
          <w:highlight w:val="none"/>
          <w:lang w:val="en-US" w:eastAsia="zh-CN"/>
        </w:rPr>
        <w:t>供应商（以下简称 “供应商”）的履约行为，保障医院无线网覆盖的稳定性、安全性及服务质量，</w:t>
      </w:r>
      <w:r>
        <w:rPr>
          <w:rFonts w:hint="eastAsia" w:ascii="Calibri" w:hAnsi="Calibri" w:eastAsia="宋体" w:cs="Times New Roman"/>
          <w:color w:val="auto"/>
          <w:sz w:val="24"/>
          <w:szCs w:val="24"/>
          <w:highlight w:val="none"/>
          <w:lang w:val="en-US" w:eastAsia="zh-CN"/>
        </w:rPr>
        <w:t>满足医疗业务、患者服务的需求</w:t>
      </w:r>
      <w:r>
        <w:rPr>
          <w:rFonts w:hint="default" w:ascii="Calibri" w:hAnsi="Calibri" w:eastAsia="宋体" w:cs="Times New Roman"/>
          <w:color w:val="auto"/>
          <w:sz w:val="24"/>
          <w:szCs w:val="24"/>
          <w:highlight w:val="none"/>
          <w:lang w:val="en-US" w:eastAsia="zh-CN"/>
        </w:rPr>
        <w:t>，特制定本方案。通过定期考核评估服务履约情况，将考核结果与服务费用支付挂钩，督促供应商持续提升服务水平。</w:t>
      </w:r>
    </w:p>
    <w:p w14:paraId="4FB284E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二、考核主体与对象</w:t>
      </w:r>
    </w:p>
    <w:p w14:paraId="49ED73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考核主体：医院成立考核小组，由信息科（牵头）、</w:t>
      </w:r>
      <w:r>
        <w:rPr>
          <w:rFonts w:hint="eastAsia" w:ascii="Calibri" w:hAnsi="Calibri" w:eastAsia="宋体" w:cs="Times New Roman"/>
          <w:color w:val="auto"/>
          <w:sz w:val="24"/>
          <w:szCs w:val="24"/>
          <w:highlight w:val="none"/>
          <w:lang w:val="en-US" w:eastAsia="zh-CN"/>
        </w:rPr>
        <w:t>财务科、监察室、医务科</w:t>
      </w:r>
      <w:r>
        <w:rPr>
          <w:rFonts w:hint="default" w:ascii="Calibri" w:hAnsi="Calibri" w:eastAsia="宋体" w:cs="Times New Roman"/>
          <w:color w:val="auto"/>
          <w:sz w:val="24"/>
          <w:szCs w:val="24"/>
          <w:highlight w:val="none"/>
          <w:lang w:val="en-US" w:eastAsia="zh-CN"/>
        </w:rPr>
        <w:t>、</w:t>
      </w:r>
      <w:r>
        <w:rPr>
          <w:rFonts w:hint="eastAsia" w:ascii="Calibri" w:hAnsi="Calibri" w:eastAsia="宋体" w:cs="Times New Roman"/>
          <w:color w:val="auto"/>
          <w:sz w:val="24"/>
          <w:szCs w:val="24"/>
          <w:highlight w:val="none"/>
          <w:lang w:val="en-US" w:eastAsia="zh-CN"/>
        </w:rPr>
        <w:t>护理部、</w:t>
      </w:r>
      <w:r>
        <w:rPr>
          <w:rFonts w:hint="default" w:ascii="Calibri" w:hAnsi="Calibri" w:eastAsia="宋体" w:cs="Times New Roman"/>
          <w:color w:val="auto"/>
          <w:sz w:val="24"/>
          <w:szCs w:val="24"/>
          <w:highlight w:val="none"/>
          <w:lang w:val="en-US" w:eastAsia="zh-CN"/>
        </w:rPr>
        <w:t>临床科室代表（如门诊、住院部、手术室等）组成，负责考核组织、实施及结果判定。</w:t>
      </w:r>
    </w:p>
    <w:p w14:paraId="21E76F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考核对象：为本医院提供无线网覆盖服务的供应商。</w:t>
      </w:r>
    </w:p>
    <w:p w14:paraId="686D7E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三、考核周期与时间</w:t>
      </w:r>
    </w:p>
    <w:p w14:paraId="0A8A4F1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考核周期：每年一次。</w:t>
      </w:r>
    </w:p>
    <w:p w14:paraId="31B6F76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四、考核指标与评分标准</w:t>
      </w:r>
    </w:p>
    <w:p w14:paraId="6FB1948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考核采用百分制，总分≥</w:t>
      </w:r>
      <w:r>
        <w:rPr>
          <w:rFonts w:hint="eastAsia" w:ascii="Calibri" w:hAnsi="Calibri" w:eastAsia="宋体" w:cs="Times New Roman"/>
          <w:color w:val="auto"/>
          <w:sz w:val="24"/>
          <w:szCs w:val="24"/>
          <w:highlight w:val="none"/>
          <w:lang w:val="en-US" w:eastAsia="zh-CN"/>
        </w:rPr>
        <w:t>9</w:t>
      </w:r>
      <w:r>
        <w:rPr>
          <w:rFonts w:hint="default" w:ascii="Calibri" w:hAnsi="Calibri" w:eastAsia="宋体" w:cs="Times New Roman"/>
          <w:color w:val="auto"/>
          <w:sz w:val="24"/>
          <w:szCs w:val="24"/>
          <w:highlight w:val="none"/>
          <w:lang w:val="en-US" w:eastAsia="zh-CN"/>
        </w:rPr>
        <w:t>0 分为 “合格”，&lt;</w:t>
      </w:r>
      <w:r>
        <w:rPr>
          <w:rFonts w:hint="eastAsia" w:ascii="Calibri" w:hAnsi="Calibri" w:eastAsia="宋体" w:cs="Times New Roman"/>
          <w:color w:val="auto"/>
          <w:sz w:val="24"/>
          <w:szCs w:val="24"/>
          <w:highlight w:val="none"/>
          <w:lang w:val="en-US" w:eastAsia="zh-CN"/>
        </w:rPr>
        <w:t>9</w:t>
      </w:r>
      <w:r>
        <w:rPr>
          <w:rFonts w:hint="default" w:ascii="Calibri" w:hAnsi="Calibri" w:eastAsia="宋体" w:cs="Times New Roman"/>
          <w:color w:val="auto"/>
          <w:sz w:val="24"/>
          <w:szCs w:val="24"/>
          <w:highlight w:val="none"/>
          <w:lang w:val="en-US" w:eastAsia="zh-CN"/>
        </w:rPr>
        <w:t>0 分为 “不合格”。具体指标及分值如下：</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8"/>
        <w:gridCol w:w="1093"/>
        <w:gridCol w:w="5611"/>
      </w:tblGrid>
      <w:tr w14:paraId="22D0B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818" w:type="dxa"/>
            <w:vAlign w:val="center"/>
          </w:tcPr>
          <w:p w14:paraId="375B12F1">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考核维度</w:t>
            </w:r>
          </w:p>
        </w:tc>
        <w:tc>
          <w:tcPr>
            <w:tcW w:w="1093" w:type="dxa"/>
            <w:vAlign w:val="center"/>
          </w:tcPr>
          <w:p w14:paraId="5E12638B">
            <w:pPr>
              <w:jc w:val="center"/>
              <w:rPr>
                <w:rFonts w:hint="default" w:ascii="Calibri" w:hAnsi="Calibri" w:eastAsia="宋体" w:cs="Times New Roman"/>
                <w:color w:val="auto"/>
                <w:sz w:val="21"/>
                <w:szCs w:val="21"/>
                <w:highlight w:val="none"/>
                <w:vertAlign w:val="baseline"/>
                <w:lang w:val="en-US" w:eastAsia="zh-CN"/>
              </w:rPr>
            </w:pPr>
            <w:r>
              <w:rPr>
                <w:rFonts w:hint="default" w:ascii="Calibri" w:hAnsi="Calibri" w:eastAsia="宋体" w:cs="Times New Roman"/>
                <w:color w:val="auto"/>
                <w:sz w:val="21"/>
                <w:szCs w:val="21"/>
                <w:highlight w:val="none"/>
                <w:vertAlign w:val="baseline"/>
                <w:lang w:val="en-US" w:eastAsia="zh-CN"/>
              </w:rPr>
              <w:t>权重（分）</w:t>
            </w:r>
          </w:p>
        </w:tc>
        <w:tc>
          <w:tcPr>
            <w:tcW w:w="5611" w:type="dxa"/>
            <w:vAlign w:val="center"/>
          </w:tcPr>
          <w:p w14:paraId="5B5D7F3B">
            <w:pPr>
              <w:jc w:val="center"/>
              <w:rPr>
                <w:rFonts w:hint="default" w:ascii="Calibri" w:hAnsi="Calibri" w:eastAsia="宋体" w:cs="Times New Roman"/>
                <w:color w:val="auto"/>
                <w:sz w:val="21"/>
                <w:szCs w:val="21"/>
                <w:highlight w:val="none"/>
                <w:vertAlign w:val="baseline"/>
                <w:lang w:val="en-US" w:eastAsia="zh-CN"/>
              </w:rPr>
            </w:pPr>
            <w:r>
              <w:rPr>
                <w:rFonts w:hint="default" w:ascii="Calibri" w:hAnsi="Calibri" w:eastAsia="宋体" w:cs="Times New Roman"/>
                <w:color w:val="auto"/>
                <w:sz w:val="21"/>
                <w:szCs w:val="21"/>
                <w:highlight w:val="none"/>
                <w:vertAlign w:val="baseline"/>
                <w:lang w:val="en-US" w:eastAsia="zh-CN"/>
              </w:rPr>
              <w:t>考核内容及评分标准</w:t>
            </w:r>
          </w:p>
        </w:tc>
      </w:tr>
      <w:tr w14:paraId="3695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1989F14D">
            <w:pPr>
              <w:jc w:val="center"/>
              <w:rPr>
                <w:rFonts w:hint="default" w:ascii="Calibri" w:hAnsi="Calibri" w:eastAsia="宋体" w:cs="Times New Roman"/>
                <w:color w:val="auto"/>
                <w:sz w:val="21"/>
                <w:szCs w:val="21"/>
                <w:highlight w:val="none"/>
                <w:vertAlign w:val="baseline"/>
                <w:lang w:val="en-US" w:eastAsia="zh-CN"/>
              </w:rPr>
            </w:pPr>
            <w:r>
              <w:rPr>
                <w:rFonts w:ascii="Segoe UI" w:hAnsi="Segoe UI" w:eastAsia="Segoe UI" w:cs="Segoe UI"/>
                <w:i w:val="0"/>
                <w:iCs w:val="0"/>
                <w:caps w:val="0"/>
                <w:color w:val="auto"/>
                <w:spacing w:val="0"/>
                <w:sz w:val="21"/>
                <w:szCs w:val="21"/>
                <w:highlight w:val="none"/>
                <w:shd w:val="clear" w:fill="FFFFFF"/>
              </w:rPr>
              <w:t>1. 覆盖范围达标</w:t>
            </w:r>
          </w:p>
        </w:tc>
        <w:tc>
          <w:tcPr>
            <w:tcW w:w="1093" w:type="dxa"/>
            <w:vAlign w:val="center"/>
          </w:tcPr>
          <w:p w14:paraId="0237CAA3">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30</w:t>
            </w:r>
          </w:p>
        </w:tc>
        <w:tc>
          <w:tcPr>
            <w:tcW w:w="5611" w:type="dxa"/>
          </w:tcPr>
          <w:p w14:paraId="625238E0">
            <w:pPr>
              <w:spacing w:line="360" w:lineRule="auto"/>
              <w:ind w:firstLine="480" w:firstLineChars="200"/>
              <w:jc w:val="left"/>
              <w:rPr>
                <w:rFonts w:hint="default" w:ascii="Calibri" w:hAnsi="Calibri" w:eastAsia="宋体" w:cs="Times New Roman"/>
                <w:color w:val="auto"/>
                <w:sz w:val="24"/>
                <w:szCs w:val="24"/>
                <w:highlight w:val="none"/>
                <w:vertAlign w:val="baseline"/>
                <w:lang w:val="en-US" w:eastAsia="zh-CN"/>
              </w:rPr>
            </w:pPr>
            <w:r>
              <w:rPr>
                <w:rFonts w:ascii="Calibri" w:hAnsi="Calibri" w:eastAsia="宋体" w:cs="Times New Roman"/>
                <w:i w:val="0"/>
                <w:iCs w:val="0"/>
                <w:caps w:val="0"/>
                <w:color w:val="auto"/>
                <w:spacing w:val="0"/>
                <w:sz w:val="24"/>
                <w:szCs w:val="24"/>
                <w:highlight w:val="none"/>
                <w:shd w:val="clear"/>
              </w:rPr>
              <w:t>医院所有关键区域（门诊、住院部各楼层、手术室、医技科室、行政办公室等）100% 覆盖，无盲区。</w:t>
            </w:r>
            <w:r>
              <w:rPr>
                <w:rFonts w:hint="default" w:ascii="Calibri" w:hAnsi="Calibri" w:eastAsia="宋体" w:cs="Times New Roman"/>
                <w:i w:val="0"/>
                <w:iCs w:val="0"/>
                <w:caps w:val="0"/>
                <w:color w:val="auto"/>
                <w:spacing w:val="0"/>
                <w:sz w:val="24"/>
                <w:szCs w:val="24"/>
                <w:highlight w:val="none"/>
                <w:shd w:val="clear"/>
              </w:rPr>
              <w:t>每发现1处盲区（经现场测试确认）扣5分，扣完为止。</w:t>
            </w:r>
          </w:p>
        </w:tc>
      </w:tr>
      <w:tr w14:paraId="21EE6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58193761">
            <w:pPr>
              <w:jc w:val="center"/>
              <w:rPr>
                <w:rFonts w:hint="default" w:ascii="Calibri" w:hAnsi="Calibri" w:eastAsia="宋体" w:cs="Times New Roman"/>
                <w:color w:val="auto"/>
                <w:sz w:val="21"/>
                <w:szCs w:val="21"/>
                <w:highlight w:val="none"/>
                <w:vertAlign w:val="baseline"/>
                <w:lang w:val="en-US" w:eastAsia="zh-CN"/>
              </w:rPr>
            </w:pPr>
            <w:r>
              <w:rPr>
                <w:rFonts w:ascii="Segoe UI" w:hAnsi="Segoe UI" w:eastAsia="Segoe UI" w:cs="Segoe UI"/>
                <w:i w:val="0"/>
                <w:iCs w:val="0"/>
                <w:caps w:val="0"/>
                <w:color w:val="auto"/>
                <w:spacing w:val="0"/>
                <w:sz w:val="21"/>
                <w:szCs w:val="21"/>
                <w:highlight w:val="none"/>
                <w:shd w:val="clear" w:fill="FFFFFF"/>
              </w:rPr>
              <w:t>2. 网络质量</w:t>
            </w:r>
          </w:p>
        </w:tc>
        <w:tc>
          <w:tcPr>
            <w:tcW w:w="1093" w:type="dxa"/>
            <w:vAlign w:val="center"/>
          </w:tcPr>
          <w:p w14:paraId="3E49FEFE">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25</w:t>
            </w:r>
          </w:p>
        </w:tc>
        <w:tc>
          <w:tcPr>
            <w:tcW w:w="5611" w:type="dxa"/>
          </w:tcPr>
          <w:p w14:paraId="25A103B0">
            <w:pPr>
              <w:numPr>
                <w:ilvl w:val="-1"/>
                <w:numId w:val="0"/>
              </w:numPr>
              <w:spacing w:line="360" w:lineRule="auto"/>
              <w:ind w:firstLine="480" w:firstLineChars="200"/>
              <w:jc w:val="left"/>
              <w:rPr>
                <w:rFonts w:ascii="Calibri" w:hAnsi="Calibri" w:eastAsia="宋体" w:cs="Times New Roman"/>
                <w:i w:val="0"/>
                <w:iCs w:val="0"/>
                <w:caps w:val="0"/>
                <w:color w:val="auto"/>
                <w:spacing w:val="0"/>
                <w:sz w:val="24"/>
                <w:szCs w:val="24"/>
                <w:highlight w:val="none"/>
                <w:shd w:val="clear"/>
              </w:rPr>
            </w:pPr>
            <w:r>
              <w:rPr>
                <w:rFonts w:ascii="Calibri" w:hAnsi="Calibri" w:eastAsia="宋体" w:cs="Times New Roman"/>
                <w:i w:val="0"/>
                <w:iCs w:val="0"/>
                <w:caps w:val="0"/>
                <w:color w:val="auto"/>
                <w:spacing w:val="0"/>
                <w:sz w:val="24"/>
                <w:szCs w:val="24"/>
                <w:highlight w:val="none"/>
                <w:shd w:val="clear"/>
              </w:rPr>
              <w:t>带宽达标率：核心区域带宽≥100Mbps，普通区域≥50Mbps，达标率≥95%（以医院监测系统数据为准）。每低1%扣3分。</w:t>
            </w:r>
          </w:p>
          <w:p w14:paraId="764A28BB">
            <w:pPr>
              <w:numPr>
                <w:ilvl w:val="-1"/>
                <w:numId w:val="0"/>
              </w:numPr>
              <w:spacing w:line="360" w:lineRule="auto"/>
              <w:ind w:left="0" w:leftChars="0" w:firstLine="480" w:firstLineChars="200"/>
              <w:jc w:val="left"/>
              <w:rPr>
                <w:rFonts w:hint="default" w:ascii="Calibri" w:hAnsi="Calibri" w:eastAsia="宋体" w:cs="Times New Roman"/>
                <w:i w:val="0"/>
                <w:iCs w:val="0"/>
                <w:caps w:val="0"/>
                <w:color w:val="auto"/>
                <w:spacing w:val="0"/>
                <w:sz w:val="24"/>
                <w:szCs w:val="24"/>
                <w:highlight w:val="none"/>
                <w:shd w:val="clear"/>
              </w:rPr>
            </w:pPr>
            <w:r>
              <w:rPr>
                <w:rFonts w:hint="default" w:ascii="Calibri" w:hAnsi="Calibri" w:eastAsia="宋体" w:cs="Times New Roman"/>
                <w:i w:val="0"/>
                <w:iCs w:val="0"/>
                <w:caps w:val="0"/>
                <w:color w:val="auto"/>
                <w:spacing w:val="0"/>
                <w:sz w:val="24"/>
                <w:szCs w:val="24"/>
                <w:highlight w:val="none"/>
                <w:shd w:val="clear"/>
              </w:rPr>
              <w:t>掉线率：≤1%（每月统计），每超 0.1% 扣2分。</w:t>
            </w:r>
          </w:p>
          <w:p w14:paraId="46E0CFB1">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i w:val="0"/>
                <w:iCs w:val="0"/>
                <w:caps w:val="0"/>
                <w:color w:val="auto"/>
                <w:spacing w:val="0"/>
                <w:sz w:val="24"/>
                <w:szCs w:val="24"/>
                <w:highlight w:val="none"/>
                <w:shd w:val="clear"/>
              </w:rPr>
              <w:t>（3）时延：≤50ms（关键业务区域），每超 10ms 扣2分。</w:t>
            </w:r>
          </w:p>
        </w:tc>
      </w:tr>
      <w:tr w14:paraId="672D9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0E725D26">
            <w:pPr>
              <w:jc w:val="center"/>
              <w:rPr>
                <w:rFonts w:hint="default" w:ascii="Calibri" w:hAnsi="Calibri" w:eastAsia="宋体" w:cs="Times New Roman"/>
                <w:color w:val="auto"/>
                <w:sz w:val="21"/>
                <w:szCs w:val="21"/>
                <w:highlight w:val="none"/>
                <w:vertAlign w:val="baseline"/>
                <w:lang w:val="en-US" w:eastAsia="zh-CN"/>
              </w:rPr>
            </w:pPr>
            <w:r>
              <w:rPr>
                <w:rFonts w:ascii="Segoe UI" w:hAnsi="Segoe UI" w:eastAsia="Segoe UI" w:cs="Segoe UI"/>
                <w:i w:val="0"/>
                <w:iCs w:val="0"/>
                <w:caps w:val="0"/>
                <w:color w:val="auto"/>
                <w:spacing w:val="0"/>
                <w:sz w:val="21"/>
                <w:szCs w:val="21"/>
                <w:highlight w:val="none"/>
                <w:shd w:val="clear" w:fill="FFFFFF"/>
              </w:rPr>
              <w:t>3. 服务响应与处理</w:t>
            </w:r>
          </w:p>
        </w:tc>
        <w:tc>
          <w:tcPr>
            <w:tcW w:w="1093" w:type="dxa"/>
            <w:vAlign w:val="center"/>
          </w:tcPr>
          <w:p w14:paraId="773317B3">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cs="Times New Roman"/>
                <w:color w:val="auto"/>
                <w:sz w:val="21"/>
                <w:szCs w:val="21"/>
                <w:highlight w:val="none"/>
                <w:vertAlign w:val="baseline"/>
                <w:lang w:val="en-US" w:eastAsia="zh-CN"/>
              </w:rPr>
              <w:t>30</w:t>
            </w:r>
          </w:p>
        </w:tc>
        <w:tc>
          <w:tcPr>
            <w:tcW w:w="5611" w:type="dxa"/>
          </w:tcPr>
          <w:p w14:paraId="25B8409B">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color w:val="auto"/>
                <w:sz w:val="24"/>
                <w:szCs w:val="24"/>
                <w:highlight w:val="none"/>
                <w:vertAlign w:val="baseline"/>
                <w:lang w:val="en-US" w:eastAsia="zh-CN"/>
              </w:rPr>
              <w:t>（1）故障响应：一般故障（不影响核心业务）30分钟内响应，重大故障（影响诊疗系统、移动查房等）10分钟内响应。每超时1次扣5分。</w:t>
            </w:r>
          </w:p>
          <w:p w14:paraId="51A63F63">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color w:val="auto"/>
                <w:sz w:val="24"/>
                <w:szCs w:val="24"/>
                <w:highlight w:val="none"/>
                <w:vertAlign w:val="baseline"/>
                <w:lang w:val="en-US" w:eastAsia="zh-CN"/>
              </w:rPr>
              <w:t>（2）故障解决：一般故障1小时内解决，重大故障2小时内解决。每超时1次扣8分。</w:t>
            </w:r>
          </w:p>
          <w:p w14:paraId="3FD6FD16">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color w:val="auto"/>
                <w:sz w:val="24"/>
                <w:szCs w:val="24"/>
                <w:highlight w:val="none"/>
                <w:vertAlign w:val="baseline"/>
                <w:lang w:val="en-US" w:eastAsia="zh-CN"/>
              </w:rPr>
              <w:t>（3）日常巡检：每月至少1次全面巡检，提交巡检报告，缺1次扣3分；报告不完整扣2分/次。</w:t>
            </w:r>
          </w:p>
        </w:tc>
      </w:tr>
      <w:tr w14:paraId="5E65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62C1E16D">
            <w:pPr>
              <w:jc w:val="center"/>
              <w:rPr>
                <w:rFonts w:ascii="Segoe UI" w:hAnsi="Segoe UI" w:eastAsia="Segoe UI" w:cs="Segoe UI"/>
                <w:i w:val="0"/>
                <w:iCs w:val="0"/>
                <w:caps w:val="0"/>
                <w:color w:val="auto"/>
                <w:spacing w:val="0"/>
                <w:sz w:val="21"/>
                <w:szCs w:val="21"/>
                <w:highlight w:val="none"/>
                <w:shd w:val="clear" w:fill="FFFFFF"/>
              </w:rPr>
            </w:pPr>
            <w:r>
              <w:rPr>
                <w:rFonts w:ascii="Segoe UI" w:hAnsi="Segoe UI" w:eastAsia="Segoe UI" w:cs="Segoe UI"/>
                <w:i w:val="0"/>
                <w:iCs w:val="0"/>
                <w:caps w:val="0"/>
                <w:color w:val="auto"/>
                <w:spacing w:val="0"/>
                <w:sz w:val="21"/>
                <w:szCs w:val="21"/>
                <w:highlight w:val="none"/>
                <w:shd w:val="clear" w:fill="FFFFFF"/>
              </w:rPr>
              <w:t>4. 安全保障</w:t>
            </w:r>
          </w:p>
        </w:tc>
        <w:tc>
          <w:tcPr>
            <w:tcW w:w="1093" w:type="dxa"/>
            <w:vAlign w:val="center"/>
          </w:tcPr>
          <w:p w14:paraId="362697C0">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15</w:t>
            </w:r>
          </w:p>
        </w:tc>
        <w:tc>
          <w:tcPr>
            <w:tcW w:w="5611" w:type="dxa"/>
          </w:tcPr>
          <w:p w14:paraId="353E0CE8">
            <w:pPr>
              <w:numPr>
                <w:ilvl w:val="-1"/>
                <w:numId w:val="0"/>
              </w:numPr>
              <w:spacing w:line="360" w:lineRule="auto"/>
              <w:ind w:firstLine="480" w:firstLineChars="200"/>
              <w:jc w:val="left"/>
              <w:rPr>
                <w:rFonts w:ascii="Calibri" w:hAnsi="Calibri" w:eastAsia="宋体" w:cs="Times New Roman"/>
                <w:i w:val="0"/>
                <w:iCs w:val="0"/>
                <w:caps w:val="0"/>
                <w:color w:val="auto"/>
                <w:spacing w:val="0"/>
                <w:sz w:val="24"/>
                <w:szCs w:val="24"/>
                <w:highlight w:val="none"/>
                <w:shd w:val="clear"/>
              </w:rPr>
            </w:pPr>
            <w:r>
              <w:rPr>
                <w:rFonts w:ascii="Calibri" w:hAnsi="Calibri" w:eastAsia="宋体" w:cs="Times New Roman"/>
                <w:i w:val="0"/>
                <w:iCs w:val="0"/>
                <w:caps w:val="0"/>
                <w:color w:val="auto"/>
                <w:spacing w:val="0"/>
                <w:sz w:val="24"/>
                <w:szCs w:val="24"/>
                <w:highlight w:val="none"/>
                <w:shd w:val="clear"/>
              </w:rPr>
              <w:t>无网络安全事件（如病毒入侵、数据泄露等），发生1 次扣15分。</w:t>
            </w:r>
          </w:p>
          <w:p w14:paraId="203416D2">
            <w:pPr>
              <w:numPr>
                <w:ilvl w:val="-1"/>
                <w:numId w:val="0"/>
              </w:numPr>
              <w:spacing w:line="360" w:lineRule="auto"/>
              <w:ind w:left="0" w:leftChars="0" w:firstLine="480" w:firstLineChars="200"/>
              <w:jc w:val="left"/>
              <w:rPr>
                <w:rFonts w:hint="default" w:ascii="Calibri" w:hAnsi="Calibri" w:eastAsia="宋体" w:cs="Times New Roman"/>
                <w:i w:val="0"/>
                <w:iCs w:val="0"/>
                <w:caps w:val="0"/>
                <w:color w:val="auto"/>
                <w:spacing w:val="0"/>
                <w:sz w:val="24"/>
                <w:szCs w:val="24"/>
                <w:highlight w:val="none"/>
                <w:shd w:val="clear"/>
              </w:rPr>
            </w:pPr>
            <w:r>
              <w:rPr>
                <w:rFonts w:hint="default" w:ascii="Calibri" w:hAnsi="Calibri" w:eastAsia="宋体" w:cs="Times New Roman"/>
                <w:i w:val="0"/>
                <w:iCs w:val="0"/>
                <w:caps w:val="0"/>
                <w:color w:val="auto"/>
                <w:spacing w:val="0"/>
                <w:sz w:val="24"/>
                <w:szCs w:val="24"/>
                <w:highlight w:val="none"/>
                <w:shd w:val="clear"/>
              </w:rPr>
              <w:t>定期（每季度）进</w:t>
            </w:r>
            <w:bookmarkStart w:id="2" w:name="_GoBack"/>
            <w:bookmarkEnd w:id="2"/>
            <w:r>
              <w:rPr>
                <w:rFonts w:hint="default" w:ascii="Calibri" w:hAnsi="Calibri" w:eastAsia="宋体" w:cs="Times New Roman"/>
                <w:i w:val="0"/>
                <w:iCs w:val="0"/>
                <w:caps w:val="0"/>
                <w:color w:val="auto"/>
                <w:spacing w:val="0"/>
                <w:sz w:val="24"/>
                <w:szCs w:val="24"/>
                <w:highlight w:val="none"/>
                <w:shd w:val="clear"/>
              </w:rPr>
              <w:t>行安全加固并提交报告，缺1次扣5分。</w:t>
            </w:r>
          </w:p>
          <w:p w14:paraId="3D7DCAE6">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i w:val="0"/>
                <w:iCs w:val="0"/>
                <w:caps w:val="0"/>
                <w:color w:val="auto"/>
                <w:spacing w:val="0"/>
                <w:sz w:val="24"/>
                <w:szCs w:val="24"/>
                <w:highlight w:val="none"/>
                <w:shd w:val="clear"/>
              </w:rPr>
              <w:t>（3）接入认证合规（仅限授权设备接入），发现1次违规接入扣3分。</w:t>
            </w:r>
          </w:p>
        </w:tc>
      </w:tr>
    </w:tbl>
    <w:p w14:paraId="0158353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五</w:t>
      </w:r>
      <w:r>
        <w:rPr>
          <w:rFonts w:hint="default" w:ascii="Calibri" w:hAnsi="Calibri" w:eastAsia="宋体" w:cs="Times New Roman"/>
          <w:b/>
          <w:bCs/>
          <w:color w:val="auto"/>
          <w:sz w:val="24"/>
          <w:szCs w:val="24"/>
          <w:highlight w:val="none"/>
          <w:lang w:val="en-US" w:eastAsia="zh-CN"/>
        </w:rPr>
        <w:t>、考核流程</w:t>
      </w:r>
    </w:p>
    <w:p w14:paraId="143438F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考核准备：</w:t>
      </w:r>
    </w:p>
    <w:p w14:paraId="204942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供应商在考核前3个工作日</w:t>
      </w:r>
      <w:r>
        <w:rPr>
          <w:rFonts w:hint="eastAsia" w:ascii="Calibri" w:hAnsi="Calibri" w:eastAsia="宋体" w:cs="Times New Roman"/>
          <w:color w:val="auto"/>
          <w:sz w:val="24"/>
          <w:szCs w:val="24"/>
          <w:highlight w:val="none"/>
          <w:lang w:val="en-US" w:eastAsia="zh-CN"/>
        </w:rPr>
        <w:t>提交</w:t>
      </w:r>
      <w:r>
        <w:rPr>
          <w:rFonts w:hint="default" w:ascii="Calibri" w:hAnsi="Calibri" w:eastAsia="宋体" w:cs="Times New Roman"/>
          <w:color w:val="auto"/>
          <w:sz w:val="24"/>
          <w:szCs w:val="24"/>
          <w:highlight w:val="none"/>
          <w:lang w:val="en-US" w:eastAsia="zh-CN"/>
        </w:rPr>
        <w:t>服务自评报告（含覆盖、质量、故障处理、安全等数据）。</w:t>
      </w:r>
    </w:p>
    <w:p w14:paraId="6F2F040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考核小组收集医院监测系统数据（如带宽、掉线率、时延）、临床科室反馈（如盲区投诉）、故障处理记录等。</w:t>
      </w:r>
    </w:p>
    <w:p w14:paraId="176D9AC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现场考核：</w:t>
      </w:r>
    </w:p>
    <w:p w14:paraId="2855378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考核小组按指标对关键区域进行覆盖测试、网络质量抽样检测</w:t>
      </w:r>
      <w:r>
        <w:rPr>
          <w:rFonts w:hint="eastAsia" w:ascii="Calibri" w:hAnsi="Calibri" w:eastAsia="宋体" w:cs="Times New Roman"/>
          <w:color w:val="auto"/>
          <w:sz w:val="24"/>
          <w:szCs w:val="24"/>
          <w:highlight w:val="none"/>
          <w:lang w:val="en-US" w:eastAsia="zh-CN"/>
        </w:rPr>
        <w:t>。</w:t>
      </w:r>
    </w:p>
    <w:p w14:paraId="0796A08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查阅供应商的巡检记录、故障处理单、安全报告等资料。</w:t>
      </w:r>
    </w:p>
    <w:p w14:paraId="1DD363C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随机访谈3-5个临床科室，收集服务体验反馈。</w:t>
      </w:r>
    </w:p>
    <w:p w14:paraId="7AD53D0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评分与判定：</w:t>
      </w:r>
    </w:p>
    <w:p w14:paraId="17E31A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考核小组根据数据及现场情况逐项打分，汇总总分。</w:t>
      </w:r>
    </w:p>
    <w:p w14:paraId="068B569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2/3及以上考核成员同意，最终判定 “合格” 或 “不合格”，并形成《考核结果通知书》。</w:t>
      </w:r>
    </w:p>
    <w:p w14:paraId="2D77736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结果公示与异议处理：</w:t>
      </w:r>
    </w:p>
    <w:p w14:paraId="0A351D6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考核结果在</w:t>
      </w:r>
      <w:r>
        <w:rPr>
          <w:rFonts w:hint="eastAsia" w:ascii="Calibri" w:hAnsi="Calibri" w:eastAsia="宋体" w:cs="Times New Roman"/>
          <w:color w:val="auto"/>
          <w:sz w:val="24"/>
          <w:szCs w:val="24"/>
          <w:highlight w:val="none"/>
          <w:lang w:val="en-US" w:eastAsia="zh-CN"/>
        </w:rPr>
        <w:t>7</w:t>
      </w:r>
      <w:r>
        <w:rPr>
          <w:rFonts w:hint="default" w:ascii="Calibri" w:hAnsi="Calibri" w:eastAsia="宋体" w:cs="Times New Roman"/>
          <w:color w:val="auto"/>
          <w:sz w:val="24"/>
          <w:szCs w:val="24"/>
          <w:highlight w:val="none"/>
          <w:lang w:val="en-US" w:eastAsia="zh-CN"/>
        </w:rPr>
        <w:t>个工作日内书面通知供应商，供应商如有异议，可在收到通知后3个工作日内提交书面申诉及佐证材料。</w:t>
      </w:r>
    </w:p>
    <w:p w14:paraId="0737C56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考核小组在收到申诉后</w:t>
      </w:r>
      <w:r>
        <w:rPr>
          <w:rFonts w:hint="eastAsia" w:ascii="Calibri" w:hAnsi="Calibri" w:eastAsia="宋体" w:cs="Times New Roman"/>
          <w:color w:val="auto"/>
          <w:sz w:val="24"/>
          <w:szCs w:val="24"/>
          <w:highlight w:val="none"/>
          <w:lang w:val="en-US" w:eastAsia="zh-CN"/>
        </w:rPr>
        <w:t>7</w:t>
      </w:r>
      <w:r>
        <w:rPr>
          <w:rFonts w:hint="default" w:ascii="Calibri" w:hAnsi="Calibri" w:eastAsia="宋体" w:cs="Times New Roman"/>
          <w:color w:val="auto"/>
          <w:sz w:val="24"/>
          <w:szCs w:val="24"/>
          <w:highlight w:val="none"/>
          <w:lang w:val="en-US" w:eastAsia="zh-CN"/>
        </w:rPr>
        <w:t>个工作日内复核，复核结果为最终结果。</w:t>
      </w:r>
    </w:p>
    <w:p w14:paraId="0CAC65E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六、考核结果应用</w:t>
      </w:r>
    </w:p>
    <w:p w14:paraId="6ABB1BA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合格情形：</w:t>
      </w:r>
      <w:r>
        <w:rPr>
          <w:rFonts w:hint="default" w:ascii="Calibri" w:hAnsi="Calibri" w:eastAsia="宋体" w:cs="Times New Roman"/>
          <w:color w:val="auto"/>
          <w:sz w:val="24"/>
          <w:szCs w:val="24"/>
          <w:highlight w:val="none"/>
          <w:lang w:val="en-US" w:eastAsia="zh-CN"/>
        </w:rPr>
        <w:t>考核合格的，医院按合同约定的</w:t>
      </w:r>
      <w:r>
        <w:rPr>
          <w:rFonts w:hint="eastAsia" w:ascii="Calibri" w:hAnsi="Calibri" w:eastAsia="宋体" w:cs="Times New Roman"/>
          <w:color w:val="auto"/>
          <w:sz w:val="24"/>
          <w:szCs w:val="24"/>
          <w:highlight w:val="none"/>
          <w:lang w:val="en-US" w:eastAsia="zh-CN"/>
        </w:rPr>
        <w:t>支付相关费用。</w:t>
      </w:r>
    </w:p>
    <w:p w14:paraId="1B185217">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不合格情形：</w:t>
      </w:r>
      <w:r>
        <w:rPr>
          <w:rFonts w:hint="default" w:ascii="Calibri" w:hAnsi="Calibri" w:eastAsia="宋体" w:cs="Times New Roman"/>
          <w:color w:val="auto"/>
          <w:sz w:val="24"/>
          <w:szCs w:val="24"/>
          <w:highlight w:val="none"/>
          <w:lang w:val="en-US" w:eastAsia="zh-CN"/>
        </w:rPr>
        <w:t>医院暂停支付当服务费用</w:t>
      </w:r>
      <w:r>
        <w:rPr>
          <w:rFonts w:hint="eastAsia" w:ascii="Calibri" w:hAnsi="Calibri" w:eastAsia="宋体" w:cs="Times New Roman"/>
          <w:color w:val="auto"/>
          <w:sz w:val="24"/>
          <w:szCs w:val="24"/>
          <w:highlight w:val="none"/>
          <w:lang w:val="en-US" w:eastAsia="zh-CN"/>
        </w:rPr>
        <w:t>，供应商须在规定期限内完成整改，并向医院提交详细的《整改报告》及证明材料。</w:t>
      </w:r>
    </w:p>
    <w:p w14:paraId="13C18B2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整改复核：</w:t>
      </w:r>
      <w:r>
        <w:rPr>
          <w:rFonts w:hint="eastAsia" w:ascii="Calibri" w:hAnsi="Calibri" w:eastAsia="宋体" w:cs="Times New Roman"/>
          <w:color w:val="auto"/>
          <w:sz w:val="24"/>
          <w:szCs w:val="24"/>
          <w:highlight w:val="none"/>
          <w:lang w:val="en-US" w:eastAsia="zh-CN"/>
        </w:rPr>
        <w:t>医院考核小组对整改结果进行复核验证。</w:t>
      </w:r>
    </w:p>
    <w:p w14:paraId="4AE5128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复核通过：</w:t>
      </w:r>
      <w:r>
        <w:rPr>
          <w:rFonts w:hint="eastAsia" w:ascii="Calibri" w:hAnsi="Calibri" w:eastAsia="宋体" w:cs="Times New Roman"/>
          <w:color w:val="auto"/>
          <w:sz w:val="24"/>
          <w:szCs w:val="24"/>
          <w:highlight w:val="none"/>
          <w:lang w:val="en-US" w:eastAsia="zh-CN"/>
        </w:rPr>
        <w:t>医院在确认整改达标后的，支付被暂缓的服务费用。</w:t>
      </w:r>
    </w:p>
    <w:p w14:paraId="0D4BC194">
      <w:pPr>
        <w:pStyle w:val="6"/>
        <w:spacing w:before="0" w:after="156" w:afterLines="50" w:line="360" w:lineRule="auto"/>
        <w:ind w:firstLine="482" w:firstLineChars="200"/>
        <w:jc w:val="both"/>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复核不通过：</w:t>
      </w:r>
      <w:r>
        <w:rPr>
          <w:rFonts w:hint="eastAsia" w:ascii="Calibri" w:hAnsi="Calibri" w:eastAsia="宋体" w:cs="Times New Roman"/>
          <w:color w:val="auto"/>
          <w:sz w:val="24"/>
          <w:szCs w:val="24"/>
          <w:highlight w:val="none"/>
          <w:lang w:val="en-US" w:eastAsia="zh-CN"/>
        </w:rPr>
        <w:t>若整改后仍不达标，医院将继续暂缓付款，并保留根据合同追究其违约责任的权利，同时可要求供应商继续整改，直至问题解决。连续两次考核不合格，可视为供应商重大违约，医院有权按合同约定采取进一步措施。</w:t>
      </w:r>
    </w:p>
    <w:bookmarkEnd w:id="1"/>
    <w:p w14:paraId="142C39AB">
      <w:pPr>
        <w:jc w:val="right"/>
        <w:rPr>
          <w:rFonts w:hint="eastAsia" w:ascii="宋体" w:hAnsi="宋体" w:cs="宋体"/>
          <w:b/>
          <w:bCs/>
          <w:color w:val="auto"/>
          <w:sz w:val="24"/>
          <w:szCs w:val="24"/>
          <w:highlight w:val="none"/>
          <w:lang w:val="en-US"/>
        </w:rPr>
      </w:pPr>
    </w:p>
    <w:sectPr>
      <w:headerReference r:id="rId3" w:type="default"/>
      <w:footerReference r:id="rId5" w:type="default"/>
      <w:headerReference r:id="rId4" w:type="even"/>
      <w:footerReference r:id="rId6" w:type="even"/>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F2369">
    <w:pPr>
      <w:pStyle w:val="21"/>
    </w:pPr>
    <w:r>
      <w:rPr>
        <w:sz w:val="18"/>
      </w:rPr>
      <w:pict>
        <v:shape id="_x0000_s4105" o:spid="_x0000_s410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3C21E70">
                <w:pPr>
                  <w:pStyle w:val="21"/>
                  <w:rPr>
                    <w:rStyle w:val="37"/>
                  </w:rPr>
                </w:pPr>
                <w:r>
                  <w:rPr>
                    <w:rStyle w:val="37"/>
                  </w:rPr>
                  <w:fldChar w:fldCharType="begin"/>
                </w:r>
                <w:r>
                  <w:rPr>
                    <w:rStyle w:val="37"/>
                  </w:rPr>
                  <w:instrText xml:space="preserve">PAGE  </w:instrText>
                </w:r>
                <w:r>
                  <w:rPr>
                    <w:rStyle w:val="37"/>
                  </w:rPr>
                  <w:fldChar w:fldCharType="separate"/>
                </w:r>
                <w:r>
                  <w:rPr>
                    <w:rStyle w:val="37"/>
                  </w:rPr>
                  <w:t>47</w:t>
                </w:r>
                <w:r>
                  <w:rPr>
                    <w:rStyle w:val="37"/>
                  </w:rPr>
                  <w:fldChar w:fldCharType="end"/>
                </w:r>
              </w:p>
              <w:p w14:paraId="701DF29F"/>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07AC7">
    <w:pPr>
      <w:pStyle w:val="21"/>
      <w:framePr w:wrap="around" w:vAnchor="text" w:hAnchor="margin" w:xAlign="center" w:y="1"/>
      <w:rPr>
        <w:rStyle w:val="37"/>
      </w:rPr>
    </w:pPr>
    <w:r>
      <w:rPr>
        <w:rStyle w:val="37"/>
      </w:rPr>
      <w:fldChar w:fldCharType="begin"/>
    </w:r>
    <w:r>
      <w:rPr>
        <w:rStyle w:val="37"/>
      </w:rPr>
      <w:instrText xml:space="preserve">PAGE  </w:instrText>
    </w:r>
    <w:r>
      <w:rPr>
        <w:rStyle w:val="37"/>
      </w:rPr>
      <w:fldChar w:fldCharType="end"/>
    </w:r>
  </w:p>
  <w:p w14:paraId="7E0D1724">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85416">
    <w:pPr>
      <w:pStyle w:val="23"/>
      <w:pBdr>
        <w:bottom w:val="single" w:color="auto" w:sz="6" w:space="0"/>
      </w:pBdr>
      <w:tabs>
        <w:tab w:val="left" w:pos="8460"/>
        <w:tab w:val="left" w:pos="9180"/>
        <w:tab w:val="clear" w:pos="4153"/>
        <w:tab w:val="clear" w:pos="8306"/>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D6CE5">
    <w:pPr>
      <w:pStyle w:val="23"/>
      <w:framePr w:wrap="around" w:vAnchor="text" w:hAnchor="margin" w:xAlign="right" w:y="1"/>
      <w:rPr>
        <w:rStyle w:val="37"/>
      </w:rPr>
    </w:pPr>
    <w:r>
      <w:rPr>
        <w:rStyle w:val="37"/>
      </w:rPr>
      <w:fldChar w:fldCharType="begin"/>
    </w:r>
    <w:r>
      <w:rPr>
        <w:rStyle w:val="37"/>
      </w:rPr>
      <w:instrText xml:space="preserve">PAGE  </w:instrText>
    </w:r>
    <w:r>
      <w:rPr>
        <w:rStyle w:val="37"/>
      </w:rPr>
      <w:fldChar w:fldCharType="end"/>
    </w:r>
  </w:p>
  <w:p w14:paraId="4D0B60FD">
    <w:pPr>
      <w:pStyle w:val="2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4855E"/>
    <w:multiLevelType w:val="singleLevel"/>
    <w:tmpl w:val="8264855E"/>
    <w:lvl w:ilvl="0" w:tentative="0">
      <w:start w:val="1"/>
      <w:numFmt w:val="decimal"/>
      <w:lvlText w:val="%1."/>
      <w:lvlJc w:val="left"/>
      <w:pPr>
        <w:tabs>
          <w:tab w:val="left" w:pos="312"/>
        </w:tabs>
      </w:pPr>
    </w:lvl>
  </w:abstractNum>
  <w:abstractNum w:abstractNumId="1">
    <w:nsid w:val="D15A364C"/>
    <w:multiLevelType w:val="singleLevel"/>
    <w:tmpl w:val="D15A364C"/>
    <w:lvl w:ilvl="0" w:tentative="0">
      <w:start w:val="1"/>
      <w:numFmt w:val="decimal"/>
      <w:lvlText w:val="%1."/>
      <w:lvlJc w:val="left"/>
      <w:pPr>
        <w:tabs>
          <w:tab w:val="left" w:pos="312"/>
        </w:tabs>
      </w:pPr>
    </w:lvl>
  </w:abstractNum>
  <w:abstractNum w:abstractNumId="2">
    <w:nsid w:val="E7DBD839"/>
    <w:multiLevelType w:val="singleLevel"/>
    <w:tmpl w:val="E7DBD839"/>
    <w:lvl w:ilvl="0" w:tentative="0">
      <w:start w:val="9"/>
      <w:numFmt w:val="decimal"/>
      <w:lvlText w:val="%1."/>
      <w:lvlJc w:val="left"/>
      <w:pPr>
        <w:tabs>
          <w:tab w:val="left" w:pos="312"/>
        </w:tabs>
      </w:pPr>
    </w:lvl>
  </w:abstractNum>
  <w:abstractNum w:abstractNumId="3">
    <w:nsid w:val="F15CF5B7"/>
    <w:multiLevelType w:val="singleLevel"/>
    <w:tmpl w:val="F15CF5B7"/>
    <w:lvl w:ilvl="0" w:tentative="0">
      <w:start w:val="1"/>
      <w:numFmt w:val="decimal"/>
      <w:suff w:val="nothing"/>
      <w:lvlText w:val="%1、"/>
      <w:lvlJc w:val="left"/>
    </w:lvl>
  </w:abstractNum>
  <w:abstractNum w:abstractNumId="4">
    <w:nsid w:val="00000005"/>
    <w:multiLevelType w:val="multilevel"/>
    <w:tmpl w:val="00000005"/>
    <w:lvl w:ilvl="0" w:tentative="0">
      <w:start w:val="1"/>
      <w:numFmt w:val="decimal"/>
      <w:pStyle w:val="5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188D056C"/>
    <w:multiLevelType w:val="singleLevel"/>
    <w:tmpl w:val="188D056C"/>
    <w:lvl w:ilvl="0" w:tentative="0">
      <w:start w:val="6"/>
      <w:numFmt w:val="chineseCounting"/>
      <w:suff w:val="nothing"/>
      <w:lvlText w:val="%1、"/>
      <w:lvlJc w:val="left"/>
      <w:rPr>
        <w:rFonts w:hint="eastAsia"/>
      </w:rPr>
    </w:lvl>
  </w:abstractNum>
  <w:abstractNum w:abstractNumId="6">
    <w:nsid w:val="2117D075"/>
    <w:multiLevelType w:val="singleLevel"/>
    <w:tmpl w:val="2117D075"/>
    <w:lvl w:ilvl="0" w:tentative="0">
      <w:start w:val="2"/>
      <w:numFmt w:val="chineseCounting"/>
      <w:suff w:val="nothing"/>
      <w:lvlText w:val="%1、"/>
      <w:lvlJc w:val="left"/>
      <w:rPr>
        <w:rFonts w:hint="eastAsia"/>
      </w:rPr>
    </w:lvl>
  </w:abstractNum>
  <w:abstractNum w:abstractNumId="7">
    <w:nsid w:val="54B34021"/>
    <w:multiLevelType w:val="singleLevel"/>
    <w:tmpl w:val="54B34021"/>
    <w:lvl w:ilvl="0" w:tentative="0">
      <w:start w:val="1"/>
      <w:numFmt w:val="decimal"/>
      <w:suff w:val="nothing"/>
      <w:lvlText w:val="%1、"/>
      <w:lvlJc w:val="left"/>
    </w:lvl>
  </w:abstractNum>
  <w:abstractNum w:abstractNumId="8">
    <w:nsid w:val="65A5CAAE"/>
    <w:multiLevelType w:val="singleLevel"/>
    <w:tmpl w:val="65A5CAAE"/>
    <w:lvl w:ilvl="0" w:tentative="0">
      <w:start w:val="1"/>
      <w:numFmt w:val="bullet"/>
      <w:lvlText w:val=""/>
      <w:lvlJc w:val="left"/>
      <w:pPr>
        <w:ind w:left="420" w:hanging="420"/>
      </w:pPr>
      <w:rPr>
        <w:rFonts w:hint="default" w:ascii="Wingdings" w:hAnsi="Wingdings"/>
      </w:rPr>
    </w:lvl>
  </w:abstractNum>
  <w:abstractNum w:abstractNumId="9">
    <w:nsid w:val="745C73DF"/>
    <w:multiLevelType w:val="singleLevel"/>
    <w:tmpl w:val="745C73DF"/>
    <w:lvl w:ilvl="0" w:tentative="0">
      <w:start w:val="5"/>
      <w:numFmt w:val="decimal"/>
      <w:suff w:val="nothing"/>
      <w:lvlText w:val="%1、"/>
      <w:lvlJc w:val="left"/>
    </w:lvl>
  </w:abstractNum>
  <w:abstractNum w:abstractNumId="10">
    <w:nsid w:val="75394332"/>
    <w:multiLevelType w:val="singleLevel"/>
    <w:tmpl w:val="75394332"/>
    <w:lvl w:ilvl="0" w:tentative="0">
      <w:start w:val="1"/>
      <w:numFmt w:val="decimal"/>
      <w:lvlText w:val="%1."/>
      <w:lvlJc w:val="left"/>
      <w:pPr>
        <w:tabs>
          <w:tab w:val="left" w:pos="312"/>
        </w:tabs>
      </w:pPr>
    </w:lvl>
  </w:abstractNum>
  <w:num w:numId="1">
    <w:abstractNumId w:val="4"/>
  </w:num>
  <w:num w:numId="2">
    <w:abstractNumId w:val="6"/>
  </w:num>
  <w:num w:numId="3">
    <w:abstractNumId w:val="7"/>
  </w:num>
  <w:num w:numId="4">
    <w:abstractNumId w:val="9"/>
  </w:num>
  <w:num w:numId="5">
    <w:abstractNumId w:val="10"/>
  </w:num>
  <w:num w:numId="6">
    <w:abstractNumId w:val="8"/>
  </w:num>
  <w:num w:numId="7">
    <w:abstractNumId w:val="2"/>
  </w:num>
  <w:num w:numId="8">
    <w:abstractNumId w:val="5"/>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WE0NDAxZDlhNWUxZDFjNWVhNTc2OGI4OWZlYjE1YmMifQ=="/>
  </w:docVars>
  <w:rsids>
    <w:rsidRoot w:val="002D677B"/>
    <w:rsid w:val="00003610"/>
    <w:rsid w:val="000145D1"/>
    <w:rsid w:val="00015C71"/>
    <w:rsid w:val="00042454"/>
    <w:rsid w:val="000530AC"/>
    <w:rsid w:val="00057B34"/>
    <w:rsid w:val="00066BCF"/>
    <w:rsid w:val="00076BD7"/>
    <w:rsid w:val="0007794F"/>
    <w:rsid w:val="00083A3D"/>
    <w:rsid w:val="00085013"/>
    <w:rsid w:val="0008734A"/>
    <w:rsid w:val="00091912"/>
    <w:rsid w:val="00092365"/>
    <w:rsid w:val="00095459"/>
    <w:rsid w:val="000A0CAE"/>
    <w:rsid w:val="000A3D75"/>
    <w:rsid w:val="000B438B"/>
    <w:rsid w:val="000C5C16"/>
    <w:rsid w:val="000D784C"/>
    <w:rsid w:val="000E723B"/>
    <w:rsid w:val="0010048A"/>
    <w:rsid w:val="001252D5"/>
    <w:rsid w:val="001260B2"/>
    <w:rsid w:val="00135355"/>
    <w:rsid w:val="00146D70"/>
    <w:rsid w:val="00156254"/>
    <w:rsid w:val="001567B7"/>
    <w:rsid w:val="001713C4"/>
    <w:rsid w:val="001723C8"/>
    <w:rsid w:val="001A1410"/>
    <w:rsid w:val="001A16C1"/>
    <w:rsid w:val="001A3254"/>
    <w:rsid w:val="001B57E1"/>
    <w:rsid w:val="001C3B69"/>
    <w:rsid w:val="0021447E"/>
    <w:rsid w:val="002175D2"/>
    <w:rsid w:val="0022100F"/>
    <w:rsid w:val="00222133"/>
    <w:rsid w:val="00230806"/>
    <w:rsid w:val="00232B23"/>
    <w:rsid w:val="002372B2"/>
    <w:rsid w:val="00246E67"/>
    <w:rsid w:val="002656AE"/>
    <w:rsid w:val="00265EC6"/>
    <w:rsid w:val="002760E1"/>
    <w:rsid w:val="0028115C"/>
    <w:rsid w:val="00295D2C"/>
    <w:rsid w:val="002A5B98"/>
    <w:rsid w:val="002C3E11"/>
    <w:rsid w:val="002D508E"/>
    <w:rsid w:val="002D552F"/>
    <w:rsid w:val="002D677B"/>
    <w:rsid w:val="002E521A"/>
    <w:rsid w:val="002F5374"/>
    <w:rsid w:val="002F5CAB"/>
    <w:rsid w:val="0031378C"/>
    <w:rsid w:val="00322074"/>
    <w:rsid w:val="003342EF"/>
    <w:rsid w:val="00337492"/>
    <w:rsid w:val="00341CB0"/>
    <w:rsid w:val="003452C5"/>
    <w:rsid w:val="003539B1"/>
    <w:rsid w:val="0035659C"/>
    <w:rsid w:val="0035777E"/>
    <w:rsid w:val="003808D6"/>
    <w:rsid w:val="00393CAC"/>
    <w:rsid w:val="003A03AB"/>
    <w:rsid w:val="003B2B2B"/>
    <w:rsid w:val="003B672C"/>
    <w:rsid w:val="003E0B3C"/>
    <w:rsid w:val="003E13E7"/>
    <w:rsid w:val="003E5E17"/>
    <w:rsid w:val="003E7C3B"/>
    <w:rsid w:val="003F4073"/>
    <w:rsid w:val="003F655F"/>
    <w:rsid w:val="00402FDA"/>
    <w:rsid w:val="00424DA5"/>
    <w:rsid w:val="00434A85"/>
    <w:rsid w:val="004413B4"/>
    <w:rsid w:val="00445952"/>
    <w:rsid w:val="00453F7D"/>
    <w:rsid w:val="00463A62"/>
    <w:rsid w:val="00473633"/>
    <w:rsid w:val="004C0AD3"/>
    <w:rsid w:val="004C64FF"/>
    <w:rsid w:val="004D4771"/>
    <w:rsid w:val="004D5F5D"/>
    <w:rsid w:val="00524A87"/>
    <w:rsid w:val="00532B91"/>
    <w:rsid w:val="00533AAE"/>
    <w:rsid w:val="00536E00"/>
    <w:rsid w:val="00554CE3"/>
    <w:rsid w:val="00576983"/>
    <w:rsid w:val="0058678B"/>
    <w:rsid w:val="00587005"/>
    <w:rsid w:val="005C34E1"/>
    <w:rsid w:val="005C6139"/>
    <w:rsid w:val="005E56CC"/>
    <w:rsid w:val="00612809"/>
    <w:rsid w:val="0062194E"/>
    <w:rsid w:val="0062376D"/>
    <w:rsid w:val="0063756A"/>
    <w:rsid w:val="00641AFF"/>
    <w:rsid w:val="00650A29"/>
    <w:rsid w:val="00654D2C"/>
    <w:rsid w:val="00661562"/>
    <w:rsid w:val="006650F6"/>
    <w:rsid w:val="0067781D"/>
    <w:rsid w:val="00685792"/>
    <w:rsid w:val="006B21E7"/>
    <w:rsid w:val="006C1B7A"/>
    <w:rsid w:val="006C30A4"/>
    <w:rsid w:val="006D3DB9"/>
    <w:rsid w:val="006F01D1"/>
    <w:rsid w:val="006F0CE4"/>
    <w:rsid w:val="006F3D3E"/>
    <w:rsid w:val="007003B4"/>
    <w:rsid w:val="00703A7D"/>
    <w:rsid w:val="00742F0D"/>
    <w:rsid w:val="00753D8A"/>
    <w:rsid w:val="00766A44"/>
    <w:rsid w:val="00767BB2"/>
    <w:rsid w:val="007838D0"/>
    <w:rsid w:val="0079235B"/>
    <w:rsid w:val="007B00FB"/>
    <w:rsid w:val="007B44EE"/>
    <w:rsid w:val="007E5141"/>
    <w:rsid w:val="007E77BF"/>
    <w:rsid w:val="007F2502"/>
    <w:rsid w:val="007F5F13"/>
    <w:rsid w:val="0080648E"/>
    <w:rsid w:val="00810784"/>
    <w:rsid w:val="008142BD"/>
    <w:rsid w:val="00821EE8"/>
    <w:rsid w:val="008377DF"/>
    <w:rsid w:val="008451EF"/>
    <w:rsid w:val="00851FA9"/>
    <w:rsid w:val="008524A2"/>
    <w:rsid w:val="00857D2A"/>
    <w:rsid w:val="0086536B"/>
    <w:rsid w:val="00885123"/>
    <w:rsid w:val="008A5C97"/>
    <w:rsid w:val="008A6D3D"/>
    <w:rsid w:val="008B0E3B"/>
    <w:rsid w:val="008C0ED2"/>
    <w:rsid w:val="008C2F6A"/>
    <w:rsid w:val="008D216E"/>
    <w:rsid w:val="008E1E10"/>
    <w:rsid w:val="008F25AF"/>
    <w:rsid w:val="008F2F04"/>
    <w:rsid w:val="00922A63"/>
    <w:rsid w:val="00924313"/>
    <w:rsid w:val="00925990"/>
    <w:rsid w:val="00940C0D"/>
    <w:rsid w:val="0094320A"/>
    <w:rsid w:val="0096145E"/>
    <w:rsid w:val="00971106"/>
    <w:rsid w:val="00975269"/>
    <w:rsid w:val="009752B8"/>
    <w:rsid w:val="0097577C"/>
    <w:rsid w:val="00977563"/>
    <w:rsid w:val="00980525"/>
    <w:rsid w:val="00990C6C"/>
    <w:rsid w:val="00997272"/>
    <w:rsid w:val="009A18E0"/>
    <w:rsid w:val="009B2F30"/>
    <w:rsid w:val="009B5EF1"/>
    <w:rsid w:val="009E2C0D"/>
    <w:rsid w:val="00A05AD9"/>
    <w:rsid w:val="00A17EB8"/>
    <w:rsid w:val="00A24491"/>
    <w:rsid w:val="00A2462A"/>
    <w:rsid w:val="00A5114C"/>
    <w:rsid w:val="00A52EA8"/>
    <w:rsid w:val="00A612D2"/>
    <w:rsid w:val="00A6271F"/>
    <w:rsid w:val="00A74097"/>
    <w:rsid w:val="00A83ACD"/>
    <w:rsid w:val="00A84216"/>
    <w:rsid w:val="00A85BA0"/>
    <w:rsid w:val="00A95755"/>
    <w:rsid w:val="00A957C6"/>
    <w:rsid w:val="00A95AB2"/>
    <w:rsid w:val="00AB1E8B"/>
    <w:rsid w:val="00AB51D7"/>
    <w:rsid w:val="00AB742B"/>
    <w:rsid w:val="00AC4741"/>
    <w:rsid w:val="00B07208"/>
    <w:rsid w:val="00B1311E"/>
    <w:rsid w:val="00B238CD"/>
    <w:rsid w:val="00B27CFD"/>
    <w:rsid w:val="00B302D5"/>
    <w:rsid w:val="00B363E9"/>
    <w:rsid w:val="00B37791"/>
    <w:rsid w:val="00B57818"/>
    <w:rsid w:val="00B704C7"/>
    <w:rsid w:val="00B7157E"/>
    <w:rsid w:val="00B75600"/>
    <w:rsid w:val="00B80346"/>
    <w:rsid w:val="00BA10A8"/>
    <w:rsid w:val="00BA136D"/>
    <w:rsid w:val="00BA3764"/>
    <w:rsid w:val="00BB7605"/>
    <w:rsid w:val="00BC40CC"/>
    <w:rsid w:val="00BD684B"/>
    <w:rsid w:val="00BE0862"/>
    <w:rsid w:val="00BE281B"/>
    <w:rsid w:val="00C179DF"/>
    <w:rsid w:val="00C34566"/>
    <w:rsid w:val="00C35B5F"/>
    <w:rsid w:val="00C5087F"/>
    <w:rsid w:val="00C734AB"/>
    <w:rsid w:val="00C84AAC"/>
    <w:rsid w:val="00C8517A"/>
    <w:rsid w:val="00C97CD9"/>
    <w:rsid w:val="00CA32AE"/>
    <w:rsid w:val="00CA60CE"/>
    <w:rsid w:val="00CB7607"/>
    <w:rsid w:val="00CE1386"/>
    <w:rsid w:val="00CE28E9"/>
    <w:rsid w:val="00CF10C1"/>
    <w:rsid w:val="00CF3743"/>
    <w:rsid w:val="00D027C9"/>
    <w:rsid w:val="00D13AEE"/>
    <w:rsid w:val="00D16453"/>
    <w:rsid w:val="00D175FB"/>
    <w:rsid w:val="00D33ECF"/>
    <w:rsid w:val="00D6083A"/>
    <w:rsid w:val="00D70AF0"/>
    <w:rsid w:val="00DA3B7D"/>
    <w:rsid w:val="00DB16A6"/>
    <w:rsid w:val="00DD2C6C"/>
    <w:rsid w:val="00DE1600"/>
    <w:rsid w:val="00DE18CD"/>
    <w:rsid w:val="00DE73F9"/>
    <w:rsid w:val="00DF6F18"/>
    <w:rsid w:val="00E13FF9"/>
    <w:rsid w:val="00E20914"/>
    <w:rsid w:val="00E22452"/>
    <w:rsid w:val="00E22A4C"/>
    <w:rsid w:val="00E332F5"/>
    <w:rsid w:val="00E36567"/>
    <w:rsid w:val="00E4159F"/>
    <w:rsid w:val="00E71CC0"/>
    <w:rsid w:val="00E72CF4"/>
    <w:rsid w:val="00E752C9"/>
    <w:rsid w:val="00E76A3F"/>
    <w:rsid w:val="00E87871"/>
    <w:rsid w:val="00E912B4"/>
    <w:rsid w:val="00EA33CF"/>
    <w:rsid w:val="00EE4358"/>
    <w:rsid w:val="00EE5630"/>
    <w:rsid w:val="00EF2195"/>
    <w:rsid w:val="00EF3C5F"/>
    <w:rsid w:val="00F22829"/>
    <w:rsid w:val="00F251CD"/>
    <w:rsid w:val="00F267E8"/>
    <w:rsid w:val="00F40445"/>
    <w:rsid w:val="00F464A7"/>
    <w:rsid w:val="00F564DA"/>
    <w:rsid w:val="00F64830"/>
    <w:rsid w:val="00F74BC0"/>
    <w:rsid w:val="00F84A92"/>
    <w:rsid w:val="00F90A8E"/>
    <w:rsid w:val="00F91C4B"/>
    <w:rsid w:val="00FA1EEE"/>
    <w:rsid w:val="00FA35DA"/>
    <w:rsid w:val="00FB552D"/>
    <w:rsid w:val="00FC1D08"/>
    <w:rsid w:val="00FD5535"/>
    <w:rsid w:val="00FF1C7C"/>
    <w:rsid w:val="00FF2E49"/>
    <w:rsid w:val="00FF56BA"/>
    <w:rsid w:val="017E1B19"/>
    <w:rsid w:val="01D24B5F"/>
    <w:rsid w:val="01ED3B47"/>
    <w:rsid w:val="01ED64C2"/>
    <w:rsid w:val="02107700"/>
    <w:rsid w:val="03062E20"/>
    <w:rsid w:val="035829A6"/>
    <w:rsid w:val="03991DF6"/>
    <w:rsid w:val="03B22505"/>
    <w:rsid w:val="04067181"/>
    <w:rsid w:val="04EE7346"/>
    <w:rsid w:val="05045387"/>
    <w:rsid w:val="05104E6D"/>
    <w:rsid w:val="05532506"/>
    <w:rsid w:val="05ED76CD"/>
    <w:rsid w:val="06262FF6"/>
    <w:rsid w:val="06AB1B86"/>
    <w:rsid w:val="07267565"/>
    <w:rsid w:val="072E7791"/>
    <w:rsid w:val="073C750A"/>
    <w:rsid w:val="078C18B4"/>
    <w:rsid w:val="07A20F5E"/>
    <w:rsid w:val="095F7F4C"/>
    <w:rsid w:val="09A60123"/>
    <w:rsid w:val="09AE75F4"/>
    <w:rsid w:val="09B95F2A"/>
    <w:rsid w:val="0A0C7574"/>
    <w:rsid w:val="0A424E4D"/>
    <w:rsid w:val="0AB0493B"/>
    <w:rsid w:val="0AC57974"/>
    <w:rsid w:val="0AEF7369"/>
    <w:rsid w:val="0AF82AC1"/>
    <w:rsid w:val="0B527C78"/>
    <w:rsid w:val="0B66533A"/>
    <w:rsid w:val="0B745622"/>
    <w:rsid w:val="0B84414D"/>
    <w:rsid w:val="0BB40C0B"/>
    <w:rsid w:val="0BD46BAD"/>
    <w:rsid w:val="0BE120B2"/>
    <w:rsid w:val="0CEC43CA"/>
    <w:rsid w:val="0D354C8F"/>
    <w:rsid w:val="0D3E2FCC"/>
    <w:rsid w:val="0D50431A"/>
    <w:rsid w:val="0D5D797E"/>
    <w:rsid w:val="0DC93B08"/>
    <w:rsid w:val="0DF624E0"/>
    <w:rsid w:val="0E346850"/>
    <w:rsid w:val="0E404088"/>
    <w:rsid w:val="0EA113FA"/>
    <w:rsid w:val="0ECA11CC"/>
    <w:rsid w:val="0F0C3DC3"/>
    <w:rsid w:val="0F390E8E"/>
    <w:rsid w:val="0F8F57EF"/>
    <w:rsid w:val="0FF97625"/>
    <w:rsid w:val="1018304A"/>
    <w:rsid w:val="110475FD"/>
    <w:rsid w:val="119066D9"/>
    <w:rsid w:val="11A335B5"/>
    <w:rsid w:val="1219428E"/>
    <w:rsid w:val="13490C7D"/>
    <w:rsid w:val="135C3D02"/>
    <w:rsid w:val="14E27C21"/>
    <w:rsid w:val="150115AF"/>
    <w:rsid w:val="153B2049"/>
    <w:rsid w:val="155B5FE8"/>
    <w:rsid w:val="15614DA8"/>
    <w:rsid w:val="15AD79BC"/>
    <w:rsid w:val="16066864"/>
    <w:rsid w:val="16991EF7"/>
    <w:rsid w:val="173850A7"/>
    <w:rsid w:val="174C0AC9"/>
    <w:rsid w:val="177B4CDC"/>
    <w:rsid w:val="17BA7FA6"/>
    <w:rsid w:val="17F627DF"/>
    <w:rsid w:val="18386437"/>
    <w:rsid w:val="18FB6E94"/>
    <w:rsid w:val="192B2CC7"/>
    <w:rsid w:val="198B1495"/>
    <w:rsid w:val="1A6C248D"/>
    <w:rsid w:val="1AA74848"/>
    <w:rsid w:val="1AF45622"/>
    <w:rsid w:val="1B0D432A"/>
    <w:rsid w:val="1B5A7D5C"/>
    <w:rsid w:val="1B7B26E1"/>
    <w:rsid w:val="1C1A0C17"/>
    <w:rsid w:val="1C32741A"/>
    <w:rsid w:val="1C405AE5"/>
    <w:rsid w:val="1D960483"/>
    <w:rsid w:val="1DE877AA"/>
    <w:rsid w:val="1DF15284"/>
    <w:rsid w:val="1EAF0CCC"/>
    <w:rsid w:val="1F171CFB"/>
    <w:rsid w:val="1F205053"/>
    <w:rsid w:val="1F3C13B6"/>
    <w:rsid w:val="1F4B49D6"/>
    <w:rsid w:val="1FF85069"/>
    <w:rsid w:val="20825C93"/>
    <w:rsid w:val="20F41885"/>
    <w:rsid w:val="21093582"/>
    <w:rsid w:val="211A4A1F"/>
    <w:rsid w:val="211B685E"/>
    <w:rsid w:val="21711F06"/>
    <w:rsid w:val="219153B7"/>
    <w:rsid w:val="21993B18"/>
    <w:rsid w:val="22174BD6"/>
    <w:rsid w:val="22464B8D"/>
    <w:rsid w:val="228F2F97"/>
    <w:rsid w:val="229A201B"/>
    <w:rsid w:val="239974D6"/>
    <w:rsid w:val="23E266D0"/>
    <w:rsid w:val="23E4618A"/>
    <w:rsid w:val="241C2900"/>
    <w:rsid w:val="244E3D8C"/>
    <w:rsid w:val="24B335CE"/>
    <w:rsid w:val="24EF6268"/>
    <w:rsid w:val="25783B09"/>
    <w:rsid w:val="25EF0E4B"/>
    <w:rsid w:val="269C26E3"/>
    <w:rsid w:val="272E2D63"/>
    <w:rsid w:val="27410CB9"/>
    <w:rsid w:val="276D441A"/>
    <w:rsid w:val="27E1561F"/>
    <w:rsid w:val="27F74FD8"/>
    <w:rsid w:val="28050867"/>
    <w:rsid w:val="284B576B"/>
    <w:rsid w:val="2861396F"/>
    <w:rsid w:val="288612B9"/>
    <w:rsid w:val="28B21AD6"/>
    <w:rsid w:val="28B44010"/>
    <w:rsid w:val="28D9268F"/>
    <w:rsid w:val="292450D2"/>
    <w:rsid w:val="29384EA8"/>
    <w:rsid w:val="29E26463"/>
    <w:rsid w:val="2A07065D"/>
    <w:rsid w:val="2A0A08C3"/>
    <w:rsid w:val="2A3A7283"/>
    <w:rsid w:val="2A3C6EB3"/>
    <w:rsid w:val="2A534564"/>
    <w:rsid w:val="2A573A70"/>
    <w:rsid w:val="2BF0305D"/>
    <w:rsid w:val="2C164B90"/>
    <w:rsid w:val="2CBD48CE"/>
    <w:rsid w:val="2CE211B2"/>
    <w:rsid w:val="2E015B36"/>
    <w:rsid w:val="2E275F81"/>
    <w:rsid w:val="2E4E51C2"/>
    <w:rsid w:val="2E77681E"/>
    <w:rsid w:val="2F2525AB"/>
    <w:rsid w:val="2F4B2B19"/>
    <w:rsid w:val="2F6246CC"/>
    <w:rsid w:val="2FC53683"/>
    <w:rsid w:val="2FE97A5F"/>
    <w:rsid w:val="2FFD5337"/>
    <w:rsid w:val="30262E44"/>
    <w:rsid w:val="30314FE0"/>
    <w:rsid w:val="305A47DE"/>
    <w:rsid w:val="309E348C"/>
    <w:rsid w:val="31394322"/>
    <w:rsid w:val="3184082E"/>
    <w:rsid w:val="31BA6253"/>
    <w:rsid w:val="31FE0EF2"/>
    <w:rsid w:val="31FEBFA9"/>
    <w:rsid w:val="321567E5"/>
    <w:rsid w:val="32617B06"/>
    <w:rsid w:val="328304A8"/>
    <w:rsid w:val="32BC5F4D"/>
    <w:rsid w:val="32F32A21"/>
    <w:rsid w:val="33FE364D"/>
    <w:rsid w:val="3429115A"/>
    <w:rsid w:val="342F2529"/>
    <w:rsid w:val="34F2580B"/>
    <w:rsid w:val="35635FE6"/>
    <w:rsid w:val="35A32FBE"/>
    <w:rsid w:val="36024564"/>
    <w:rsid w:val="36276335"/>
    <w:rsid w:val="362B51D9"/>
    <w:rsid w:val="36981B5D"/>
    <w:rsid w:val="36A9634B"/>
    <w:rsid w:val="36BF474E"/>
    <w:rsid w:val="36D079C8"/>
    <w:rsid w:val="371711E7"/>
    <w:rsid w:val="37346816"/>
    <w:rsid w:val="373E7885"/>
    <w:rsid w:val="377FB79C"/>
    <w:rsid w:val="37D716E7"/>
    <w:rsid w:val="384635F3"/>
    <w:rsid w:val="38937331"/>
    <w:rsid w:val="3984616B"/>
    <w:rsid w:val="39D53485"/>
    <w:rsid w:val="3A2145D3"/>
    <w:rsid w:val="3A4506C9"/>
    <w:rsid w:val="3A8F3EBA"/>
    <w:rsid w:val="3AB10259"/>
    <w:rsid w:val="3ABA6222"/>
    <w:rsid w:val="3B301F44"/>
    <w:rsid w:val="3BAE4829"/>
    <w:rsid w:val="3BC31DD8"/>
    <w:rsid w:val="3BDF73C5"/>
    <w:rsid w:val="3C6E2D81"/>
    <w:rsid w:val="3CDFFECA"/>
    <w:rsid w:val="3D572003"/>
    <w:rsid w:val="3D791D75"/>
    <w:rsid w:val="3D902D22"/>
    <w:rsid w:val="3DF4021A"/>
    <w:rsid w:val="3E047963"/>
    <w:rsid w:val="3E8E5BBA"/>
    <w:rsid w:val="3EDC10FF"/>
    <w:rsid w:val="3EE07F28"/>
    <w:rsid w:val="3F054AC7"/>
    <w:rsid w:val="3F0A5E23"/>
    <w:rsid w:val="3F12200A"/>
    <w:rsid w:val="402E1B38"/>
    <w:rsid w:val="405A4873"/>
    <w:rsid w:val="407B3EBF"/>
    <w:rsid w:val="40DF693D"/>
    <w:rsid w:val="40F16A8E"/>
    <w:rsid w:val="41051E82"/>
    <w:rsid w:val="410F6C78"/>
    <w:rsid w:val="412455D4"/>
    <w:rsid w:val="412545BE"/>
    <w:rsid w:val="4184340D"/>
    <w:rsid w:val="41E21275"/>
    <w:rsid w:val="420D55E8"/>
    <w:rsid w:val="42635504"/>
    <w:rsid w:val="42F6152E"/>
    <w:rsid w:val="42FF6CFF"/>
    <w:rsid w:val="433A3D54"/>
    <w:rsid w:val="43771108"/>
    <w:rsid w:val="438C4E1A"/>
    <w:rsid w:val="4448284C"/>
    <w:rsid w:val="44575DEA"/>
    <w:rsid w:val="446523D2"/>
    <w:rsid w:val="446C7686"/>
    <w:rsid w:val="44DA0696"/>
    <w:rsid w:val="44E45943"/>
    <w:rsid w:val="4583380E"/>
    <w:rsid w:val="459102C1"/>
    <w:rsid w:val="45993146"/>
    <w:rsid w:val="45EB3538"/>
    <w:rsid w:val="46335882"/>
    <w:rsid w:val="46440499"/>
    <w:rsid w:val="46771AC0"/>
    <w:rsid w:val="468204C7"/>
    <w:rsid w:val="47867C8A"/>
    <w:rsid w:val="479B001B"/>
    <w:rsid w:val="47C17FBC"/>
    <w:rsid w:val="47D21CE6"/>
    <w:rsid w:val="48876507"/>
    <w:rsid w:val="48A14890"/>
    <w:rsid w:val="48BD0CBA"/>
    <w:rsid w:val="48E334B4"/>
    <w:rsid w:val="48F7696F"/>
    <w:rsid w:val="48FE3012"/>
    <w:rsid w:val="4A3B1C77"/>
    <w:rsid w:val="4A4C0CEF"/>
    <w:rsid w:val="4A67403B"/>
    <w:rsid w:val="4A734E79"/>
    <w:rsid w:val="4AD27698"/>
    <w:rsid w:val="4AD31C04"/>
    <w:rsid w:val="4B090E3B"/>
    <w:rsid w:val="4B1B114F"/>
    <w:rsid w:val="4B250368"/>
    <w:rsid w:val="4B7F6C9B"/>
    <w:rsid w:val="4BB01238"/>
    <w:rsid w:val="4C2F1AF1"/>
    <w:rsid w:val="4C3F1A69"/>
    <w:rsid w:val="4C4C7D4D"/>
    <w:rsid w:val="4C692E82"/>
    <w:rsid w:val="4CA7336B"/>
    <w:rsid w:val="4D001539"/>
    <w:rsid w:val="4D060FF1"/>
    <w:rsid w:val="4D714797"/>
    <w:rsid w:val="4D9F0EEA"/>
    <w:rsid w:val="4E795281"/>
    <w:rsid w:val="4E8A5B90"/>
    <w:rsid w:val="4F095D32"/>
    <w:rsid w:val="4F1A4882"/>
    <w:rsid w:val="4F3C4DEC"/>
    <w:rsid w:val="4FF77EAB"/>
    <w:rsid w:val="504900D3"/>
    <w:rsid w:val="524D365C"/>
    <w:rsid w:val="52892F5B"/>
    <w:rsid w:val="52A21143"/>
    <w:rsid w:val="52B07B8F"/>
    <w:rsid w:val="52F61709"/>
    <w:rsid w:val="537756E8"/>
    <w:rsid w:val="53F701D3"/>
    <w:rsid w:val="54073585"/>
    <w:rsid w:val="546F0FF7"/>
    <w:rsid w:val="54DB7C79"/>
    <w:rsid w:val="54E74E26"/>
    <w:rsid w:val="54FD46FE"/>
    <w:rsid w:val="55580A4D"/>
    <w:rsid w:val="55B45B96"/>
    <w:rsid w:val="55DC1770"/>
    <w:rsid w:val="55EB22AC"/>
    <w:rsid w:val="561133F2"/>
    <w:rsid w:val="56334D5F"/>
    <w:rsid w:val="56571FFA"/>
    <w:rsid w:val="56A92CC7"/>
    <w:rsid w:val="579932E7"/>
    <w:rsid w:val="579E7AFA"/>
    <w:rsid w:val="580E7814"/>
    <w:rsid w:val="583244D3"/>
    <w:rsid w:val="58871AD8"/>
    <w:rsid w:val="58A47C51"/>
    <w:rsid w:val="58B87985"/>
    <w:rsid w:val="58BD10F2"/>
    <w:rsid w:val="58CD33C2"/>
    <w:rsid w:val="596469D4"/>
    <w:rsid w:val="5A435D8A"/>
    <w:rsid w:val="5AC73C09"/>
    <w:rsid w:val="5BBC1D09"/>
    <w:rsid w:val="5BEF1728"/>
    <w:rsid w:val="5C34380B"/>
    <w:rsid w:val="5CC74E65"/>
    <w:rsid w:val="5CF74D38"/>
    <w:rsid w:val="5D5604BE"/>
    <w:rsid w:val="5ED7634C"/>
    <w:rsid w:val="5EF83D8C"/>
    <w:rsid w:val="5F281AB8"/>
    <w:rsid w:val="5F912AC4"/>
    <w:rsid w:val="5FCC7BD4"/>
    <w:rsid w:val="5FD14724"/>
    <w:rsid w:val="60700F30"/>
    <w:rsid w:val="607B7DDA"/>
    <w:rsid w:val="611F5A7B"/>
    <w:rsid w:val="618D7EA5"/>
    <w:rsid w:val="61A76748"/>
    <w:rsid w:val="61CB6DC9"/>
    <w:rsid w:val="62B731FE"/>
    <w:rsid w:val="63023C80"/>
    <w:rsid w:val="636D3AA1"/>
    <w:rsid w:val="64931A65"/>
    <w:rsid w:val="64F22548"/>
    <w:rsid w:val="64FF32AE"/>
    <w:rsid w:val="655D232E"/>
    <w:rsid w:val="659106E2"/>
    <w:rsid w:val="65AB236D"/>
    <w:rsid w:val="65B8080F"/>
    <w:rsid w:val="65D908CE"/>
    <w:rsid w:val="66483EC5"/>
    <w:rsid w:val="66704DB4"/>
    <w:rsid w:val="66ED10A1"/>
    <w:rsid w:val="66F4722E"/>
    <w:rsid w:val="67102453"/>
    <w:rsid w:val="68A67F29"/>
    <w:rsid w:val="68C15CCA"/>
    <w:rsid w:val="68CA1553"/>
    <w:rsid w:val="697D619C"/>
    <w:rsid w:val="69EE3D79"/>
    <w:rsid w:val="6A0E091D"/>
    <w:rsid w:val="6ABA50AD"/>
    <w:rsid w:val="6B58725B"/>
    <w:rsid w:val="6B5B5152"/>
    <w:rsid w:val="6BA94127"/>
    <w:rsid w:val="6BFE46EA"/>
    <w:rsid w:val="6C7F53F2"/>
    <w:rsid w:val="6C8B20CC"/>
    <w:rsid w:val="6CBC08A1"/>
    <w:rsid w:val="6CE4695B"/>
    <w:rsid w:val="6D135E16"/>
    <w:rsid w:val="6D8C327A"/>
    <w:rsid w:val="6E0E7514"/>
    <w:rsid w:val="6EBC0F1A"/>
    <w:rsid w:val="6F447A17"/>
    <w:rsid w:val="6FF77ECA"/>
    <w:rsid w:val="704217E5"/>
    <w:rsid w:val="707F5478"/>
    <w:rsid w:val="71144746"/>
    <w:rsid w:val="71152000"/>
    <w:rsid w:val="711A679E"/>
    <w:rsid w:val="721756F7"/>
    <w:rsid w:val="7231680E"/>
    <w:rsid w:val="72541323"/>
    <w:rsid w:val="72602A76"/>
    <w:rsid w:val="726D6A77"/>
    <w:rsid w:val="73D531DE"/>
    <w:rsid w:val="74F162E6"/>
    <w:rsid w:val="754972D6"/>
    <w:rsid w:val="758430AF"/>
    <w:rsid w:val="75EF43A6"/>
    <w:rsid w:val="76ED37EF"/>
    <w:rsid w:val="770F21D1"/>
    <w:rsid w:val="778C0F36"/>
    <w:rsid w:val="779D56E1"/>
    <w:rsid w:val="78A7019A"/>
    <w:rsid w:val="795C70FF"/>
    <w:rsid w:val="79BA3B0E"/>
    <w:rsid w:val="79FE72AE"/>
    <w:rsid w:val="7A482E4F"/>
    <w:rsid w:val="7AAC62A9"/>
    <w:rsid w:val="7ABB6962"/>
    <w:rsid w:val="7AF4539C"/>
    <w:rsid w:val="7BFEEA97"/>
    <w:rsid w:val="7C013D85"/>
    <w:rsid w:val="7C662C4B"/>
    <w:rsid w:val="7C7FB7F5"/>
    <w:rsid w:val="7C932BF9"/>
    <w:rsid w:val="7D39684F"/>
    <w:rsid w:val="7D578562"/>
    <w:rsid w:val="7DB40A20"/>
    <w:rsid w:val="7DF811DF"/>
    <w:rsid w:val="7E136A50"/>
    <w:rsid w:val="7E49765A"/>
    <w:rsid w:val="7E4C0FEB"/>
    <w:rsid w:val="7EBE0C5A"/>
    <w:rsid w:val="7EF7251E"/>
    <w:rsid w:val="7EF97F0A"/>
    <w:rsid w:val="7EFB3C47"/>
    <w:rsid w:val="7EFEFCA7"/>
    <w:rsid w:val="7F5342F2"/>
    <w:rsid w:val="7F6000C3"/>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43"/>
    <w:qFormat/>
    <w:uiPriority w:val="0"/>
    <w:pPr>
      <w:keepNext/>
      <w:outlineLvl w:val="0"/>
    </w:pPr>
    <w:rPr>
      <w:sz w:val="28"/>
      <w:szCs w:val="24"/>
    </w:rPr>
  </w:style>
  <w:style w:type="paragraph" w:styleId="6">
    <w:name w:val="heading 2"/>
    <w:basedOn w:val="1"/>
    <w:next w:val="1"/>
    <w:link w:val="44"/>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7">
    <w:name w:val="heading 3"/>
    <w:basedOn w:val="1"/>
    <w:next w:val="1"/>
    <w:link w:val="45"/>
    <w:qFormat/>
    <w:uiPriority w:val="0"/>
    <w:pPr>
      <w:keepNext/>
      <w:keepLines/>
      <w:spacing w:before="260" w:after="260" w:line="416" w:lineRule="auto"/>
      <w:outlineLvl w:val="2"/>
    </w:pPr>
    <w:rPr>
      <w:b/>
      <w:bCs/>
      <w:sz w:val="32"/>
      <w:szCs w:val="32"/>
      <w:lang w:val="zh-CN"/>
    </w:rPr>
  </w:style>
  <w:style w:type="paragraph" w:styleId="8">
    <w:name w:val="heading 4"/>
    <w:basedOn w:val="1"/>
    <w:next w:val="1"/>
    <w:link w:val="46"/>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unhideWhenUsed/>
    <w:qFormat/>
    <w:uiPriority w:val="99"/>
    <w:pPr>
      <w:spacing w:line="400" w:lineRule="atLeast"/>
      <w:ind w:firstLine="426"/>
    </w:pPr>
    <w:rPr>
      <w:sz w:val="24"/>
      <w:szCs w:val="20"/>
    </w:rPr>
  </w:style>
  <w:style w:type="paragraph" w:styleId="3">
    <w:name w:val="Body Text"/>
    <w:basedOn w:val="1"/>
    <w:next w:val="4"/>
    <w:link w:val="59"/>
    <w:qFormat/>
    <w:uiPriority w:val="0"/>
    <w:pPr>
      <w:spacing w:after="120"/>
    </w:pPr>
    <w:rPr>
      <w:szCs w:val="24"/>
    </w:rPr>
  </w:style>
  <w:style w:type="paragraph" w:styleId="4">
    <w:name w:val="toc 2"/>
    <w:basedOn w:val="1"/>
    <w:next w:val="1"/>
    <w:qFormat/>
    <w:uiPriority w:val="39"/>
    <w:pPr>
      <w:ind w:left="420" w:leftChars="200"/>
    </w:pPr>
  </w:style>
  <w:style w:type="paragraph" w:styleId="9">
    <w:name w:val="toc 7"/>
    <w:basedOn w:val="1"/>
    <w:next w:val="1"/>
    <w:qFormat/>
    <w:uiPriority w:val="0"/>
    <w:pPr>
      <w:ind w:left="2520" w:leftChars="1200"/>
    </w:pPr>
  </w:style>
  <w:style w:type="paragraph" w:styleId="10">
    <w:name w:val="Document Map"/>
    <w:basedOn w:val="1"/>
    <w:link w:val="70"/>
    <w:qFormat/>
    <w:uiPriority w:val="0"/>
    <w:pPr>
      <w:shd w:val="clear" w:color="auto" w:fill="000080"/>
    </w:pPr>
  </w:style>
  <w:style w:type="paragraph" w:styleId="11">
    <w:name w:val="annotation text"/>
    <w:basedOn w:val="1"/>
    <w:link w:val="64"/>
    <w:semiHidden/>
    <w:qFormat/>
    <w:uiPriority w:val="99"/>
    <w:pPr>
      <w:jc w:val="left"/>
    </w:pPr>
  </w:style>
  <w:style w:type="paragraph" w:styleId="12">
    <w:name w:val="Body Text 3"/>
    <w:basedOn w:val="1"/>
    <w:link w:val="85"/>
    <w:unhideWhenUsed/>
    <w:qFormat/>
    <w:uiPriority w:val="99"/>
    <w:pPr>
      <w:spacing w:after="120"/>
    </w:pPr>
    <w:rPr>
      <w:rFonts w:ascii="Calibri" w:hAnsi="Calibri"/>
      <w:sz w:val="16"/>
      <w:szCs w:val="16"/>
      <w:lang w:val="zh-CN"/>
    </w:rPr>
  </w:style>
  <w:style w:type="paragraph" w:styleId="13">
    <w:name w:val="Body Text Indent"/>
    <w:basedOn w:val="1"/>
    <w:link w:val="48"/>
    <w:qFormat/>
    <w:uiPriority w:val="0"/>
    <w:pPr>
      <w:ind w:firstLine="540"/>
    </w:pPr>
    <w:rPr>
      <w:rFonts w:eastAsia="仿宋_GB2312"/>
      <w:sz w:val="28"/>
    </w:rPr>
  </w:style>
  <w:style w:type="paragraph" w:styleId="14">
    <w:name w:val="toc 5"/>
    <w:basedOn w:val="1"/>
    <w:next w:val="1"/>
    <w:qFormat/>
    <w:uiPriority w:val="0"/>
    <w:pPr>
      <w:ind w:left="1680" w:leftChars="800"/>
    </w:pPr>
  </w:style>
  <w:style w:type="paragraph" w:styleId="15">
    <w:name w:val="toc 3"/>
    <w:basedOn w:val="1"/>
    <w:next w:val="1"/>
    <w:qFormat/>
    <w:uiPriority w:val="39"/>
    <w:pPr>
      <w:ind w:left="840" w:leftChars="400"/>
    </w:pPr>
  </w:style>
  <w:style w:type="paragraph" w:styleId="16">
    <w:name w:val="Plain Text"/>
    <w:basedOn w:val="1"/>
    <w:link w:val="67"/>
    <w:qFormat/>
    <w:uiPriority w:val="0"/>
    <w:rPr>
      <w:rFonts w:ascii="宋体" w:hAnsi="Courier New" w:cstheme="minorBidi"/>
      <w:szCs w:val="22"/>
    </w:rPr>
  </w:style>
  <w:style w:type="paragraph" w:styleId="17">
    <w:name w:val="toc 8"/>
    <w:basedOn w:val="1"/>
    <w:next w:val="1"/>
    <w:qFormat/>
    <w:uiPriority w:val="0"/>
    <w:pPr>
      <w:ind w:left="2940" w:leftChars="1400"/>
    </w:pPr>
  </w:style>
  <w:style w:type="paragraph" w:styleId="18">
    <w:name w:val="Date"/>
    <w:basedOn w:val="1"/>
    <w:next w:val="1"/>
    <w:link w:val="47"/>
    <w:qFormat/>
    <w:uiPriority w:val="0"/>
    <w:rPr>
      <w:rFonts w:ascii="Arial" w:hAnsi="Arial" w:eastAsia="楷体_GB2312"/>
      <w:sz w:val="28"/>
    </w:rPr>
  </w:style>
  <w:style w:type="paragraph" w:styleId="19">
    <w:name w:val="Body Text Indent 2"/>
    <w:basedOn w:val="1"/>
    <w:link w:val="50"/>
    <w:qFormat/>
    <w:uiPriority w:val="0"/>
    <w:pPr>
      <w:tabs>
        <w:tab w:val="left" w:pos="720"/>
      </w:tabs>
      <w:ind w:right="-506" w:rightChars="-241" w:firstLine="538" w:firstLineChars="192"/>
    </w:pPr>
    <w:rPr>
      <w:rFonts w:eastAsia="仿宋_GB2312"/>
      <w:sz w:val="28"/>
    </w:rPr>
  </w:style>
  <w:style w:type="paragraph" w:styleId="20">
    <w:name w:val="Balloon Text"/>
    <w:basedOn w:val="1"/>
    <w:link w:val="61"/>
    <w:qFormat/>
    <w:uiPriority w:val="0"/>
    <w:rPr>
      <w:sz w:val="18"/>
      <w:szCs w:val="18"/>
    </w:rPr>
  </w:style>
  <w:style w:type="paragraph" w:styleId="21">
    <w:name w:val="footer"/>
    <w:basedOn w:val="1"/>
    <w:link w:val="42"/>
    <w:unhideWhenUsed/>
    <w:qFormat/>
    <w:uiPriority w:val="99"/>
    <w:pPr>
      <w:tabs>
        <w:tab w:val="center" w:pos="4153"/>
        <w:tab w:val="right" w:pos="8306"/>
      </w:tabs>
      <w:snapToGrid w:val="0"/>
      <w:jc w:val="left"/>
    </w:pPr>
    <w:rPr>
      <w:sz w:val="18"/>
      <w:szCs w:val="18"/>
    </w:rPr>
  </w:style>
  <w:style w:type="paragraph" w:styleId="22">
    <w:name w:val="envelope return"/>
    <w:basedOn w:val="1"/>
    <w:qFormat/>
    <w:uiPriority w:val="0"/>
    <w:pPr>
      <w:snapToGrid w:val="0"/>
    </w:pPr>
    <w:rPr>
      <w:rFonts w:ascii="Arial" w:hAnsi="Arial"/>
    </w:rPr>
  </w:style>
  <w:style w:type="paragraph" w:styleId="23">
    <w:name w:val="header"/>
    <w:basedOn w:val="1"/>
    <w:link w:val="41"/>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0"/>
  </w:style>
  <w:style w:type="paragraph" w:styleId="25">
    <w:name w:val="toc 4"/>
    <w:basedOn w:val="1"/>
    <w:next w:val="1"/>
    <w:qFormat/>
    <w:uiPriority w:val="0"/>
    <w:pPr>
      <w:ind w:left="1260" w:leftChars="600"/>
    </w:pPr>
  </w:style>
  <w:style w:type="paragraph" w:styleId="26">
    <w:name w:val="toc 6"/>
    <w:basedOn w:val="1"/>
    <w:next w:val="1"/>
    <w:qFormat/>
    <w:uiPriority w:val="0"/>
    <w:pPr>
      <w:ind w:left="2100" w:leftChars="1000"/>
    </w:pPr>
  </w:style>
  <w:style w:type="paragraph" w:styleId="27">
    <w:name w:val="Body Text Indent 3"/>
    <w:basedOn w:val="1"/>
    <w:link w:val="56"/>
    <w:qFormat/>
    <w:uiPriority w:val="0"/>
    <w:pPr>
      <w:ind w:left="178" w:leftChars="85" w:firstLine="560" w:firstLineChars="200"/>
    </w:pPr>
    <w:rPr>
      <w:rFonts w:ascii="仿宋_GB2312" w:hAnsi="Arial" w:eastAsia="仿宋_GB2312"/>
      <w:sz w:val="28"/>
      <w:szCs w:val="24"/>
    </w:r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11"/>
    <w:next w:val="11"/>
    <w:link w:val="65"/>
    <w:semiHidden/>
    <w:qFormat/>
    <w:uiPriority w:val="99"/>
    <w:rPr>
      <w:b/>
      <w:bCs/>
    </w:r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rPr>
  </w:style>
  <w:style w:type="character" w:styleId="37">
    <w:name w:val="page number"/>
    <w:basedOn w:val="35"/>
    <w:qFormat/>
    <w:uiPriority w:val="0"/>
  </w:style>
  <w:style w:type="character" w:styleId="38">
    <w:name w:val="FollowedHyperlink"/>
    <w:basedOn w:val="35"/>
    <w:unhideWhenUsed/>
    <w:qFormat/>
    <w:uiPriority w:val="99"/>
    <w:rPr>
      <w:color w:val="954F72" w:themeColor="followedHyperlink"/>
      <w:u w:val="single"/>
    </w:rPr>
  </w:style>
  <w:style w:type="character" w:styleId="39">
    <w:name w:val="Hyperlink"/>
    <w:basedOn w:val="35"/>
    <w:qFormat/>
    <w:uiPriority w:val="99"/>
    <w:rPr>
      <w:color w:val="333333"/>
      <w:u w:val="none"/>
    </w:rPr>
  </w:style>
  <w:style w:type="character" w:styleId="40">
    <w:name w:val="annotation reference"/>
    <w:semiHidden/>
    <w:qFormat/>
    <w:uiPriority w:val="99"/>
    <w:rPr>
      <w:sz w:val="21"/>
      <w:szCs w:val="21"/>
    </w:rPr>
  </w:style>
  <w:style w:type="character" w:customStyle="1" w:styleId="41">
    <w:name w:val="页眉 Char"/>
    <w:basedOn w:val="35"/>
    <w:link w:val="23"/>
    <w:qFormat/>
    <w:uiPriority w:val="0"/>
    <w:rPr>
      <w:sz w:val="18"/>
      <w:szCs w:val="18"/>
    </w:rPr>
  </w:style>
  <w:style w:type="character" w:customStyle="1" w:styleId="42">
    <w:name w:val="页脚 Char"/>
    <w:basedOn w:val="35"/>
    <w:link w:val="21"/>
    <w:qFormat/>
    <w:uiPriority w:val="0"/>
    <w:rPr>
      <w:sz w:val="18"/>
      <w:szCs w:val="18"/>
    </w:rPr>
  </w:style>
  <w:style w:type="character" w:customStyle="1" w:styleId="43">
    <w:name w:val="标题 1 Char"/>
    <w:basedOn w:val="35"/>
    <w:link w:val="5"/>
    <w:qFormat/>
    <w:uiPriority w:val="0"/>
    <w:rPr>
      <w:rFonts w:ascii="Times New Roman" w:hAnsi="Times New Roman" w:eastAsia="宋体" w:cs="Times New Roman"/>
      <w:sz w:val="28"/>
      <w:szCs w:val="24"/>
    </w:rPr>
  </w:style>
  <w:style w:type="character" w:customStyle="1" w:styleId="44">
    <w:name w:val="标题 2 Char"/>
    <w:basedOn w:val="35"/>
    <w:link w:val="6"/>
    <w:qFormat/>
    <w:uiPriority w:val="0"/>
    <w:rPr>
      <w:rFonts w:ascii="Arial" w:hAnsi="Arial" w:eastAsia="黑体" w:cs="Times New Roman"/>
      <w:b/>
      <w:kern w:val="0"/>
      <w:sz w:val="32"/>
      <w:szCs w:val="20"/>
    </w:rPr>
  </w:style>
  <w:style w:type="character" w:customStyle="1" w:styleId="45">
    <w:name w:val="标题 3 Char"/>
    <w:basedOn w:val="35"/>
    <w:link w:val="7"/>
    <w:qFormat/>
    <w:uiPriority w:val="0"/>
    <w:rPr>
      <w:rFonts w:ascii="Times New Roman" w:hAnsi="Times New Roman" w:eastAsia="宋体" w:cs="Times New Roman"/>
      <w:b/>
      <w:bCs/>
      <w:sz w:val="32"/>
      <w:szCs w:val="32"/>
      <w:lang w:val="zh-CN" w:eastAsia="zh-CN"/>
    </w:rPr>
  </w:style>
  <w:style w:type="character" w:customStyle="1" w:styleId="46">
    <w:name w:val="标题 4 Char"/>
    <w:basedOn w:val="35"/>
    <w:link w:val="8"/>
    <w:qFormat/>
    <w:uiPriority w:val="0"/>
    <w:rPr>
      <w:rFonts w:ascii="Arial" w:hAnsi="Arial" w:eastAsia="黑体" w:cs="Times New Roman"/>
      <w:b/>
      <w:kern w:val="0"/>
      <w:sz w:val="28"/>
      <w:szCs w:val="20"/>
    </w:rPr>
  </w:style>
  <w:style w:type="character" w:customStyle="1" w:styleId="47">
    <w:name w:val="日期 Char"/>
    <w:basedOn w:val="35"/>
    <w:link w:val="18"/>
    <w:qFormat/>
    <w:uiPriority w:val="0"/>
    <w:rPr>
      <w:rFonts w:ascii="Arial" w:hAnsi="Arial" w:eastAsia="楷体_GB2312" w:cs="Times New Roman"/>
      <w:sz w:val="28"/>
      <w:szCs w:val="20"/>
    </w:rPr>
  </w:style>
  <w:style w:type="character" w:customStyle="1" w:styleId="48">
    <w:name w:val="正文文本缩进 Char"/>
    <w:basedOn w:val="35"/>
    <w:link w:val="13"/>
    <w:qFormat/>
    <w:uiPriority w:val="0"/>
    <w:rPr>
      <w:rFonts w:ascii="Times New Roman" w:hAnsi="Times New Roman" w:eastAsia="仿宋_GB2312" w:cs="Times New Roman"/>
      <w:sz w:val="28"/>
      <w:szCs w:val="20"/>
    </w:rPr>
  </w:style>
  <w:style w:type="paragraph" w:customStyle="1" w:styleId="49">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0">
    <w:name w:val="正文文本缩进 2 Char"/>
    <w:basedOn w:val="35"/>
    <w:link w:val="19"/>
    <w:qFormat/>
    <w:uiPriority w:val="0"/>
    <w:rPr>
      <w:rFonts w:ascii="Times New Roman" w:hAnsi="Times New Roman" w:eastAsia="仿宋_GB2312" w:cs="Times New Roman"/>
      <w:sz w:val="28"/>
      <w:szCs w:val="20"/>
    </w:rPr>
  </w:style>
  <w:style w:type="paragraph" w:customStyle="1" w:styleId="51">
    <w:name w:val="样式1"/>
    <w:basedOn w:val="1"/>
    <w:qFormat/>
    <w:uiPriority w:val="0"/>
    <w:pPr>
      <w:numPr>
        <w:ilvl w:val="0"/>
        <w:numId w:val="1"/>
      </w:numPr>
      <w:adjustRightInd w:val="0"/>
      <w:textAlignment w:val="baseline"/>
    </w:pPr>
    <w:rPr>
      <w:rFonts w:ascii="宋体" w:hAnsi="宋体"/>
      <w:kern w:val="0"/>
    </w:rPr>
  </w:style>
  <w:style w:type="paragraph" w:customStyle="1" w:styleId="52">
    <w:name w:val="样式 宋体 五号 行距: 单倍行距"/>
    <w:basedOn w:val="1"/>
    <w:qFormat/>
    <w:uiPriority w:val="0"/>
    <w:pPr>
      <w:adjustRightInd w:val="0"/>
      <w:jc w:val="left"/>
      <w:textAlignment w:val="baseline"/>
    </w:pPr>
    <w:rPr>
      <w:rFonts w:ascii="宋体" w:hAnsi="宋体"/>
      <w:kern w:val="0"/>
    </w:rPr>
  </w:style>
  <w:style w:type="paragraph" w:customStyle="1" w:styleId="53">
    <w:name w:val="样式 标题 2 + 宋体 五号 行距: 单倍行距"/>
    <w:basedOn w:val="6"/>
    <w:qFormat/>
    <w:uiPriority w:val="0"/>
    <w:pPr>
      <w:spacing w:line="240" w:lineRule="auto"/>
    </w:pPr>
    <w:rPr>
      <w:rFonts w:ascii="宋体" w:hAnsi="宋体" w:eastAsia="宋体"/>
      <w:sz w:val="21"/>
    </w:rPr>
  </w:style>
  <w:style w:type="paragraph" w:customStyle="1" w:styleId="54">
    <w:name w:val="Char Char Char Char Char"/>
    <w:basedOn w:val="1"/>
    <w:qFormat/>
    <w:uiPriority w:val="0"/>
    <w:rPr>
      <w:rFonts w:ascii="Tahoma" w:hAnsi="Tahoma"/>
      <w:sz w:val="24"/>
    </w:rPr>
  </w:style>
  <w:style w:type="paragraph" w:customStyle="1" w:styleId="55">
    <w:name w:val="Char"/>
    <w:basedOn w:val="1"/>
    <w:qFormat/>
    <w:uiPriority w:val="0"/>
    <w:rPr>
      <w:rFonts w:ascii="Tahoma" w:hAnsi="Tahoma"/>
      <w:sz w:val="24"/>
    </w:rPr>
  </w:style>
  <w:style w:type="character" w:customStyle="1" w:styleId="56">
    <w:name w:val="正文文本缩进 3 Char"/>
    <w:basedOn w:val="35"/>
    <w:link w:val="27"/>
    <w:qFormat/>
    <w:uiPriority w:val="0"/>
    <w:rPr>
      <w:rFonts w:ascii="仿宋_GB2312" w:hAnsi="Arial" w:eastAsia="仿宋_GB2312" w:cs="Times New Roman"/>
      <w:sz w:val="28"/>
      <w:szCs w:val="24"/>
    </w:rPr>
  </w:style>
  <w:style w:type="paragraph" w:customStyle="1" w:styleId="57">
    <w:name w:val="Char1"/>
    <w:basedOn w:val="1"/>
    <w:qFormat/>
    <w:uiPriority w:val="0"/>
    <w:rPr>
      <w:rFonts w:ascii="Tahoma" w:hAnsi="Tahoma" w:eastAsia="仿宋_GB2312"/>
      <w:sz w:val="24"/>
    </w:rPr>
  </w:style>
  <w:style w:type="paragraph" w:customStyle="1" w:styleId="58">
    <w:name w:val="Char Char Char Char Char Char Char1 Char"/>
    <w:basedOn w:val="1"/>
    <w:qFormat/>
    <w:uiPriority w:val="0"/>
    <w:rPr>
      <w:rFonts w:ascii="Tahoma" w:hAnsi="Tahoma"/>
      <w:sz w:val="24"/>
    </w:rPr>
  </w:style>
  <w:style w:type="character" w:customStyle="1" w:styleId="59">
    <w:name w:val="正文文本 Char"/>
    <w:basedOn w:val="35"/>
    <w:link w:val="3"/>
    <w:qFormat/>
    <w:uiPriority w:val="0"/>
    <w:rPr>
      <w:rFonts w:ascii="Times New Roman" w:hAnsi="Times New Roman" w:eastAsia="宋体" w:cs="Times New Roman"/>
      <w:szCs w:val="24"/>
    </w:rPr>
  </w:style>
  <w:style w:type="paragraph" w:customStyle="1" w:styleId="60">
    <w:name w:val="Char Char Char Char"/>
    <w:basedOn w:val="1"/>
    <w:next w:val="1"/>
    <w:qFormat/>
    <w:uiPriority w:val="0"/>
    <w:pPr>
      <w:widowControl/>
      <w:spacing w:line="360" w:lineRule="auto"/>
      <w:jc w:val="left"/>
    </w:pPr>
  </w:style>
  <w:style w:type="character" w:customStyle="1" w:styleId="61">
    <w:name w:val="批注框文本 Char"/>
    <w:basedOn w:val="35"/>
    <w:link w:val="20"/>
    <w:qFormat/>
    <w:uiPriority w:val="0"/>
    <w:rPr>
      <w:rFonts w:ascii="Times New Roman" w:hAnsi="Times New Roman" w:eastAsia="宋体" w:cs="Times New Roman"/>
      <w:sz w:val="18"/>
      <w:szCs w:val="18"/>
    </w:rPr>
  </w:style>
  <w:style w:type="paragraph" w:customStyle="1" w:styleId="62">
    <w:name w:val="Char Char Char"/>
    <w:basedOn w:val="1"/>
    <w:qFormat/>
    <w:uiPriority w:val="0"/>
    <w:rPr>
      <w:rFonts w:ascii="Tahoma" w:hAnsi="Tahoma"/>
      <w:sz w:val="24"/>
    </w:rPr>
  </w:style>
  <w:style w:type="paragraph" w:customStyle="1" w:styleId="63">
    <w:name w:val="Char Char Char Char Char Char Char Char Char Char"/>
    <w:basedOn w:val="1"/>
    <w:qFormat/>
    <w:uiPriority w:val="0"/>
    <w:rPr>
      <w:rFonts w:ascii="Tahoma" w:hAnsi="Tahoma" w:cs="仿宋_GB2312"/>
      <w:sz w:val="24"/>
    </w:rPr>
  </w:style>
  <w:style w:type="character" w:customStyle="1" w:styleId="64">
    <w:name w:val="批注文字 Char"/>
    <w:basedOn w:val="35"/>
    <w:link w:val="11"/>
    <w:semiHidden/>
    <w:qFormat/>
    <w:uiPriority w:val="99"/>
    <w:rPr>
      <w:rFonts w:ascii="Times New Roman" w:hAnsi="Times New Roman" w:eastAsia="宋体" w:cs="Times New Roman"/>
      <w:szCs w:val="20"/>
    </w:rPr>
  </w:style>
  <w:style w:type="character" w:customStyle="1" w:styleId="65">
    <w:name w:val="批注主题 Char"/>
    <w:basedOn w:val="64"/>
    <w:link w:val="32"/>
    <w:semiHidden/>
    <w:qFormat/>
    <w:uiPriority w:val="99"/>
    <w:rPr>
      <w:rFonts w:ascii="Times New Roman" w:hAnsi="Times New Roman" w:eastAsia="宋体" w:cs="Times New Roman"/>
      <w:b/>
      <w:bCs/>
      <w:szCs w:val="20"/>
    </w:rPr>
  </w:style>
  <w:style w:type="paragraph" w:customStyle="1" w:styleId="66">
    <w:name w:val="Char Char Char Char Char Char"/>
    <w:basedOn w:val="1"/>
    <w:qFormat/>
    <w:uiPriority w:val="0"/>
  </w:style>
  <w:style w:type="character" w:customStyle="1" w:styleId="67">
    <w:name w:val="纯文本 Char"/>
    <w:link w:val="16"/>
    <w:qFormat/>
    <w:uiPriority w:val="0"/>
    <w:rPr>
      <w:rFonts w:ascii="宋体" w:hAnsi="Courier New" w:eastAsia="宋体"/>
    </w:rPr>
  </w:style>
  <w:style w:type="character" w:customStyle="1" w:styleId="68">
    <w:name w:val="纯文本 Char1"/>
    <w:basedOn w:val="35"/>
    <w:semiHidden/>
    <w:qFormat/>
    <w:uiPriority w:val="99"/>
    <w:rPr>
      <w:rFonts w:ascii="宋体" w:hAnsi="Courier New" w:eastAsia="宋体" w:cs="Courier New"/>
      <w:szCs w:val="21"/>
    </w:rPr>
  </w:style>
  <w:style w:type="paragraph" w:customStyle="1" w:styleId="69">
    <w:name w:val="Char12 Char Char Char"/>
    <w:basedOn w:val="1"/>
    <w:qFormat/>
    <w:uiPriority w:val="0"/>
  </w:style>
  <w:style w:type="character" w:customStyle="1" w:styleId="70">
    <w:name w:val="文档结构图 Char"/>
    <w:basedOn w:val="35"/>
    <w:link w:val="10"/>
    <w:qFormat/>
    <w:uiPriority w:val="0"/>
    <w:rPr>
      <w:rFonts w:ascii="Times New Roman" w:hAnsi="Times New Roman" w:eastAsia="宋体" w:cs="Times New Roman"/>
      <w:szCs w:val="20"/>
      <w:shd w:val="clear" w:color="auto" w:fill="000080"/>
    </w:rPr>
  </w:style>
  <w:style w:type="character" w:customStyle="1" w:styleId="71">
    <w:name w:val="style29"/>
    <w:qFormat/>
    <w:uiPriority w:val="0"/>
  </w:style>
  <w:style w:type="character" w:customStyle="1" w:styleId="72">
    <w:name w:val="正文1"/>
    <w:qFormat/>
    <w:uiPriority w:val="0"/>
  </w:style>
  <w:style w:type="character" w:customStyle="1" w:styleId="73">
    <w:name w:val="font11"/>
    <w:qFormat/>
    <w:uiPriority w:val="0"/>
    <w:rPr>
      <w:rFonts w:hint="default" w:ascii="Times New Roman" w:hAnsi="Times New Roman" w:cs="Times New Roman"/>
      <w:color w:val="3366FF"/>
      <w:sz w:val="24"/>
      <w:szCs w:val="24"/>
      <w:u w:val="none"/>
    </w:rPr>
  </w:style>
  <w:style w:type="character" w:customStyle="1" w:styleId="74">
    <w:name w:val="font21"/>
    <w:qFormat/>
    <w:uiPriority w:val="0"/>
    <w:rPr>
      <w:rFonts w:hint="eastAsia" w:ascii="宋体" w:hAnsi="宋体" w:eastAsia="宋体"/>
      <w:color w:val="3366FF"/>
      <w:sz w:val="24"/>
      <w:szCs w:val="24"/>
      <w:u w:val="none"/>
    </w:rPr>
  </w:style>
  <w:style w:type="paragraph" w:customStyle="1" w:styleId="75">
    <w:name w:val="Char Char15"/>
    <w:basedOn w:val="1"/>
    <w:qFormat/>
    <w:uiPriority w:val="0"/>
    <w:rPr>
      <w:rFonts w:ascii="Tahoma" w:hAnsi="Tahoma" w:eastAsia="仿宋_GB2312"/>
      <w:sz w:val="24"/>
    </w:rPr>
  </w:style>
  <w:style w:type="paragraph" w:customStyle="1" w:styleId="76">
    <w:name w:val="列出段落1"/>
    <w:basedOn w:val="1"/>
    <w:qFormat/>
    <w:uiPriority w:val="0"/>
    <w:pPr>
      <w:ind w:firstLine="420" w:firstLineChars="200"/>
    </w:pPr>
    <w:rPr>
      <w:rFonts w:ascii="Calibri" w:hAnsi="Calibri"/>
      <w:szCs w:val="22"/>
    </w:rPr>
  </w:style>
  <w:style w:type="paragraph" w:customStyle="1" w:styleId="77">
    <w:name w:val="Char2"/>
    <w:basedOn w:val="1"/>
    <w:qFormat/>
    <w:uiPriority w:val="0"/>
    <w:pPr>
      <w:tabs>
        <w:tab w:val="left" w:pos="360"/>
      </w:tabs>
    </w:pPr>
    <w:rPr>
      <w:sz w:val="24"/>
      <w:szCs w:val="24"/>
    </w:rPr>
  </w:style>
  <w:style w:type="paragraph" w:customStyle="1" w:styleId="78">
    <w:name w:val="Char16"/>
    <w:basedOn w:val="1"/>
    <w:qFormat/>
    <w:uiPriority w:val="0"/>
    <w:rPr>
      <w:rFonts w:ascii="Tahoma" w:hAnsi="Tahoma" w:eastAsia="仿宋_GB2312"/>
      <w:sz w:val="24"/>
    </w:rPr>
  </w:style>
  <w:style w:type="paragraph" w:customStyle="1" w:styleId="79">
    <w:name w:val="Char Char1"/>
    <w:basedOn w:val="1"/>
    <w:qFormat/>
    <w:uiPriority w:val="0"/>
    <w:rPr>
      <w:rFonts w:ascii="Tahoma" w:hAnsi="Tahoma"/>
      <w:sz w:val="24"/>
    </w:rPr>
  </w:style>
  <w:style w:type="paragraph" w:customStyle="1" w:styleId="80">
    <w:name w:val="Char Char Char Char Char Char Char"/>
    <w:basedOn w:val="1"/>
    <w:qFormat/>
    <w:uiPriority w:val="0"/>
    <w:rPr>
      <w:szCs w:val="24"/>
    </w:rPr>
  </w:style>
  <w:style w:type="paragraph" w:customStyle="1" w:styleId="81">
    <w:name w:val="Char Char"/>
    <w:basedOn w:val="1"/>
    <w:qFormat/>
    <w:uiPriority w:val="0"/>
    <w:rPr>
      <w:rFonts w:ascii="Tahoma" w:hAnsi="Tahoma" w:cs="仿宋_GB2312"/>
      <w:sz w:val="24"/>
    </w:rPr>
  </w:style>
  <w:style w:type="paragraph" w:customStyle="1" w:styleId="82">
    <w:name w:val="Char Char2"/>
    <w:basedOn w:val="1"/>
    <w:qFormat/>
    <w:uiPriority w:val="0"/>
    <w:rPr>
      <w:rFonts w:ascii="Tahoma" w:hAnsi="Tahoma" w:cs="仿宋_GB2312"/>
      <w:sz w:val="24"/>
    </w:rPr>
  </w:style>
  <w:style w:type="paragraph" w:customStyle="1" w:styleId="83">
    <w:name w:val="Char Char Char1"/>
    <w:basedOn w:val="1"/>
    <w:qFormat/>
    <w:uiPriority w:val="0"/>
    <w:rPr>
      <w:rFonts w:ascii="Tahoma" w:hAnsi="Tahoma"/>
      <w:sz w:val="24"/>
    </w:rPr>
  </w:style>
  <w:style w:type="paragraph" w:customStyle="1" w:styleId="84">
    <w:name w:val="D&amp;L"/>
    <w:basedOn w:val="23"/>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5">
    <w:name w:val="正文文本 3 Char"/>
    <w:basedOn w:val="35"/>
    <w:link w:val="12"/>
    <w:qFormat/>
    <w:uiPriority w:val="99"/>
    <w:rPr>
      <w:rFonts w:ascii="Calibri" w:hAnsi="Calibri" w:eastAsia="宋体" w:cs="Times New Roman"/>
      <w:sz w:val="16"/>
      <w:szCs w:val="16"/>
      <w:lang w:val="zh-CN" w:eastAsia="zh-CN"/>
    </w:rPr>
  </w:style>
  <w:style w:type="paragraph" w:customStyle="1" w:styleId="86">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87">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8">
    <w:name w:val="style23"/>
    <w:qFormat/>
    <w:uiPriority w:val="0"/>
    <w:rPr>
      <w:rFonts w:ascii="Times New Roman" w:hAnsi="Times New Roman" w:eastAsia="宋体"/>
    </w:rPr>
  </w:style>
  <w:style w:type="paragraph" w:customStyle="1" w:styleId="89">
    <w:name w:val="p0"/>
    <w:basedOn w:val="1"/>
    <w:qFormat/>
    <w:uiPriority w:val="0"/>
    <w:pPr>
      <w:widowControl/>
      <w:jc w:val="left"/>
    </w:pPr>
    <w:rPr>
      <w:rFonts w:ascii="等线" w:hAnsi="等线" w:eastAsia="等线" w:cs="等线"/>
      <w:kern w:val="0"/>
      <w:sz w:val="20"/>
      <w:szCs w:val="22"/>
    </w:rPr>
  </w:style>
  <w:style w:type="paragraph" w:customStyle="1" w:styleId="90">
    <w:name w:val="列表段落1"/>
    <w:basedOn w:val="1"/>
    <w:qFormat/>
    <w:uiPriority w:val="34"/>
    <w:pPr>
      <w:ind w:firstLine="420" w:firstLineChars="200"/>
    </w:pPr>
    <w:rPr>
      <w:szCs w:val="24"/>
    </w:rPr>
  </w:style>
  <w:style w:type="paragraph" w:customStyle="1" w:styleId="91">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92">
    <w:name w:val="List Paragraph"/>
    <w:basedOn w:val="1"/>
    <w:qFormat/>
    <w:uiPriority w:val="99"/>
    <w:pPr>
      <w:ind w:firstLine="420" w:firstLineChars="200"/>
    </w:pPr>
  </w:style>
  <w:style w:type="table" w:customStyle="1" w:styleId="93">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94">
    <w:name w:val="font01"/>
    <w:basedOn w:val="35"/>
    <w:qFormat/>
    <w:uiPriority w:val="0"/>
    <w:rPr>
      <w:rFonts w:hint="eastAsia" w:ascii="宋体" w:hAnsi="宋体" w:eastAsia="宋体" w:cs="宋体"/>
      <w:color w:val="000000"/>
      <w:sz w:val="22"/>
      <w:szCs w:val="22"/>
      <w:u w:val="none"/>
    </w:rPr>
  </w:style>
  <w:style w:type="paragraph" w:customStyle="1" w:styleId="95">
    <w:name w:val="_Style 2"/>
    <w:qFormat/>
    <w:uiPriority w:val="0"/>
    <w:pPr>
      <w:widowControl w:val="0"/>
      <w:spacing w:line="351" w:lineRule="atLeast"/>
      <w:ind w:firstLine="623"/>
      <w:jc w:val="both"/>
      <w:textAlignment w:val="baseline"/>
    </w:pPr>
    <w:rPr>
      <w:rFonts w:ascii="Times New Roman" w:hAnsi="Times New Roman" w:eastAsia="宋体" w:cs="Times New Roman"/>
      <w:color w:val="000000"/>
      <w:kern w:val="2"/>
      <w:sz w:val="31"/>
      <w:szCs w:val="3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105"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5E6807-F53A-4410-9691-5D1B99E8F83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6796</Words>
  <Characters>7305</Characters>
  <Lines>187</Lines>
  <Paragraphs>52</Paragraphs>
  <TotalTime>0</TotalTime>
  <ScaleCrop>false</ScaleCrop>
  <LinksUpToDate>false</LinksUpToDate>
  <CharactersWithSpaces>7352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ASUS</cp:lastModifiedBy>
  <cp:lastPrinted>2021-07-30T15:18:00Z</cp:lastPrinted>
  <dcterms:modified xsi:type="dcterms:W3CDTF">2025-11-06T08:40:09Z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8E64B363E0F04F999882A521200256AC</vt:lpwstr>
  </property>
  <property fmtid="{D5CDD505-2E9C-101B-9397-08002B2CF9AE}" pid="4" name="KSOTemplateDocerSaveRecord">
    <vt:lpwstr>eyJoZGlkIjoiYjJjOTQxYzhjODMyMDAzZmE0MDJkMWFkNmJlNDkwYTUiLCJ1c2VySWQiOiIyNTYzODM1NTMifQ==</vt:lpwstr>
  </property>
</Properties>
</file>