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11日17:00时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  <w:bookmarkStart w:id="0" w:name="_GoBack"/>
      <w:bookmarkEnd w:id="0"/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11日17:300时之前联系设备科咨询。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疝修补网 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疝修补网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10*15cm</w:t>
            </w:r>
          </w:p>
        </w:tc>
        <w:tc>
          <w:tcPr>
            <w:tcW w:w="199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261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适用于腹腔镜下或开放手术治疗切口疝（包括腹腔内和腹腔外），以及腹壁组织强化和腹壁修复。要求腔镜手术创伤小，肠粘连概率减少。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</w:tbl>
    <w:p w14:paraId="224D13D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C866796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653</Words>
  <Characters>711</Characters>
  <Lines>3</Lines>
  <Paragraphs>1</Paragraphs>
  <TotalTime>31</TotalTime>
  <ScaleCrop>false</ScaleCrop>
  <LinksUpToDate>false</LinksUpToDate>
  <CharactersWithSpaces>769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2025-10-10T06:51:08Z</cp:lastPrinted>
  <dcterms:modified xsi:type="dcterms:W3CDTF">2025-10-10T07:05:23Z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