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F63E9">
      <w:pPr>
        <w:snapToGrid w:val="0"/>
        <w:spacing w:line="360" w:lineRule="auto"/>
        <w:jc w:val="center"/>
        <w:outlineLvl w:val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采购需求</w:t>
      </w:r>
    </w:p>
    <w:p w14:paraId="5AB40433">
      <w:pPr>
        <w:numPr>
          <w:ilvl w:val="0"/>
          <w:numId w:val="0"/>
        </w:numPr>
        <w:snapToGrid w:val="0"/>
        <w:spacing w:before="40" w:line="360" w:lineRule="auto"/>
        <w:jc w:val="left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1、基本概况</w:t>
      </w:r>
    </w:p>
    <w:p w14:paraId="6C5DBD30">
      <w:pPr>
        <w:numPr>
          <w:ilvl w:val="0"/>
          <w:numId w:val="0"/>
        </w:numPr>
        <w:snapToGrid w:val="0"/>
        <w:spacing w:before="40" w:line="360" w:lineRule="auto"/>
        <w:ind w:firstLine="600" w:firstLineChars="200"/>
        <w:jc w:val="left"/>
        <w:rPr>
          <w:color w:val="FF000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zh-CN"/>
        </w:rPr>
        <w:t>舒城县人民医院空气消毒机常规配件及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维保</w:t>
      </w:r>
      <w:r>
        <w:rPr>
          <w:rFonts w:hint="eastAsia" w:ascii="仿宋" w:hAnsi="仿宋" w:eastAsia="仿宋" w:cs="仿宋"/>
          <w:color w:val="auto"/>
          <w:sz w:val="30"/>
          <w:szCs w:val="30"/>
          <w:lang w:val="zh-CN"/>
        </w:rPr>
        <w:t>服务采购项目，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主要包括以下清单中的采购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内容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，投标人报价清单中不符合采购清单中的要求视为无效报价。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本项目服务期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年，总限价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15万元。</w:t>
      </w:r>
    </w:p>
    <w:p w14:paraId="0E816B09">
      <w:pPr>
        <w:numPr>
          <w:ilvl w:val="0"/>
          <w:numId w:val="0"/>
        </w:numPr>
        <w:snapToGrid w:val="0"/>
        <w:spacing w:before="40" w:line="360" w:lineRule="auto"/>
        <w:jc w:val="left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zh-CN"/>
        </w:rPr>
      </w:pPr>
      <w:bookmarkStart w:id="0" w:name="_Toc4514"/>
      <w:bookmarkStart w:id="1" w:name="_Toc24918"/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2、采购明细表</w:t>
      </w:r>
      <w:bookmarkEnd w:id="0"/>
      <w:bookmarkEnd w:id="1"/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5"/>
        <w:gridCol w:w="1035"/>
        <w:gridCol w:w="546"/>
        <w:gridCol w:w="701"/>
        <w:gridCol w:w="3985"/>
        <w:gridCol w:w="736"/>
        <w:gridCol w:w="856"/>
      </w:tblGrid>
      <w:tr w14:paraId="08D47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70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4F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8D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81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45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37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AD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BE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4C2B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1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1A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9E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专用紫外线灯管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BB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51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2340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D696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1、采用低压汞蒸气放电，特殊石英玻璃管制成。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2、无臭氧型，灯管功率根据医院提供产品型号配置。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3、紫外线波长253.7nm，单支紫外线辐照强度≥90（μw/cm2）  。          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4、对化脓性球菌、肠道致病菌及空气中常见细菌有很强的杀灭作用。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5、使用寿命5000h。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★6、提供灯管证件和卫生安全评价报告。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5B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50元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4F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据实结算</w:t>
            </w:r>
          </w:p>
        </w:tc>
      </w:tr>
      <w:tr w14:paraId="3DC91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0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50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FB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快插式电感镇流器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60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24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D550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1、用电要求220V 功率 24-36W，根据医院提供机器型号配置。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2、功率因数≥0.9，带异常保护功能。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6D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30元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E31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据实结算</w:t>
            </w:r>
          </w:p>
        </w:tc>
      </w:tr>
      <w:tr w14:paraId="3514B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1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6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6E3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过滤网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BF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01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062E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1、尺寸按照医院提供设备型号配置。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2、尼龙过滤网，过滤毛发及大颗粒物等。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3、净化过滤棉：一面白色，一面黑色过滤微小颗粒物。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4、加工工艺：尼龙过滤网与净化过滤棉采用缝纫机加工而成。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E6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30元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CE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据实结算</w:t>
            </w:r>
          </w:p>
        </w:tc>
      </w:tr>
      <w:tr w14:paraId="28D92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1" w:hRule="atLeast"/>
          <w:jc w:val="center"/>
        </w:trPr>
        <w:tc>
          <w:tcPr>
            <w:tcW w:w="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7B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68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日常维护服务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4D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/季度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65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AE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1、机器外壳及机器内清洁除尘、机器内滤网清洗，必要时更换滤网。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2、拆机检测紫外线灯管、整流器、臭氧发生器使用情况，如老化、损坏、紫外线强度、臭氧浓度达不到要求，需更换相应配件。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3、检查机器等离子体（如具备）是否工作正常，清洁保养。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4、检查机器工作时间是否准确，调节功能按钮是否工作正常。挂件、外壳是否牢固。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★5、提供本地化服务，机器调试、紧急故障维修须24H内到场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解决，提供两台移动式空气消毒机备用。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6、开机率：保证全年开机率不低于95％。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★7、做好维护记录，每季度出具科室签字确认的维护清单报告。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8、维修过程中差旅费、人工费均由服务方自行承担。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67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10元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BA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约200台，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据实结算</w:t>
            </w:r>
          </w:p>
        </w:tc>
      </w:tr>
    </w:tbl>
    <w:p w14:paraId="09943F7E">
      <w:pPr>
        <w:pStyle w:val="2"/>
        <w:rPr>
          <w:rFonts w:hint="eastAsia" w:ascii="宋体" w:hAnsi="宋体" w:eastAsia="宋体"/>
          <w:b/>
          <w:color w:val="FF0000"/>
          <w:sz w:val="24"/>
          <w:szCs w:val="18"/>
          <w:highlight w:val="none"/>
        </w:rPr>
      </w:pPr>
    </w:p>
    <w:p w14:paraId="19AACAF5">
      <w:pPr>
        <w:pStyle w:val="2"/>
        <w:rPr>
          <w:rFonts w:hint="eastAsia" w:ascii="宋体" w:hAnsi="宋体" w:eastAsia="宋体"/>
          <w:b/>
          <w:color w:val="FF0000"/>
          <w:sz w:val="24"/>
          <w:szCs w:val="18"/>
          <w:highlight w:val="none"/>
          <w:lang w:val="en-US" w:eastAsia="zh-CN"/>
        </w:rPr>
      </w:pPr>
      <w:r>
        <w:rPr>
          <w:rFonts w:hint="eastAsia" w:ascii="宋体" w:hAnsi="宋体"/>
          <w:b/>
          <w:color w:val="FF0000"/>
          <w:sz w:val="24"/>
          <w:szCs w:val="18"/>
          <w:highlight w:val="none"/>
          <w:lang w:val="en-US" w:eastAsia="zh-CN"/>
        </w:rPr>
        <w:t>注：“★”参数有1条负偏离或非“★”参数负偏离情形＞3条，视作无效响应。</w:t>
      </w:r>
    </w:p>
    <w:p w14:paraId="5FB1AEBE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F1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2025-07-09T07:29:20Z</dcterms:created>
  <dc:creator>86158</dc:creator>
  <cp:lastModifiedBy>等</cp:lastModifiedBy>
  <dcterms:modified xsi:type="dcterms:W3CDTF">2025-07-09T07:29:25Z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eyJoZGlkIjoiZjFjMzg2ZjdjMWFlYmViNzJjYWMxZTBmNGE5NmU4NWIiLCJ1c2VySWQiOiIzMDgxMjg5MzYifQ==</vt:lpwstr>
  </property>
  <property fmtid="{D5CDD505-2E9C-101B-9397-08002B2CF9AE}" pid="4" name="ICV">
    <vt:lpwstr>CC4D7638DCD34BEDB56F11C750ECC4F2_12</vt:lpwstr>
  </property>
</Properties>
</file>