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A8CA8D">
      <w:pPr>
        <w:snapToGrid w:val="0"/>
        <w:spacing w:line="360" w:lineRule="auto"/>
        <w:jc w:val="center"/>
        <w:outlineLvl w:val="0"/>
        <w:rPr>
          <w:rFonts w:ascii="宋体" w:hAnsi="宋体"/>
          <w:b/>
          <w:color w:val="000000"/>
          <w:sz w:val="32"/>
          <w:szCs w:val="32"/>
        </w:rPr>
      </w:pPr>
      <w:bookmarkStart w:id="0" w:name="_GoBack"/>
      <w:bookmarkEnd w:id="0"/>
      <w:r>
        <w:rPr>
          <w:rFonts w:hint="eastAsia" w:ascii="宋体" w:hAnsi="宋体"/>
          <w:b/>
          <w:color w:val="000000"/>
          <w:sz w:val="32"/>
          <w:szCs w:val="32"/>
        </w:rPr>
        <w:t>采购需求</w:t>
      </w:r>
    </w:p>
    <w:p w14:paraId="511B0D06">
      <w:pPr>
        <w:ind w:firstLine="562" w:firstLineChars="200"/>
        <w:rPr>
          <w:rFonts w:hint="eastAsia" w:ascii="仿宋" w:hAnsi="仿宋" w:eastAsia="仿宋" w:cs="仿宋"/>
          <w:b/>
          <w:sz w:val="28"/>
          <w:szCs w:val="28"/>
        </w:rPr>
      </w:pPr>
      <w:r>
        <w:rPr>
          <w:rFonts w:hint="eastAsia" w:ascii="仿宋" w:hAnsi="仿宋" w:eastAsia="仿宋" w:cs="仿宋"/>
          <w:b/>
          <w:sz w:val="28"/>
          <w:szCs w:val="28"/>
        </w:rPr>
        <w:t>一、服务内容</w:t>
      </w:r>
    </w:p>
    <w:p w14:paraId="7DE9B82F">
      <w:pPr>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1、“舒城县人民医院</w:t>
      </w:r>
      <w:r>
        <w:rPr>
          <w:rFonts w:hint="eastAsia" w:ascii="仿宋" w:hAnsi="仿宋" w:eastAsia="仿宋" w:cs="仿宋"/>
          <w:color w:val="auto"/>
          <w:sz w:val="28"/>
          <w:szCs w:val="28"/>
          <w:lang w:eastAsia="zh-CN"/>
        </w:rPr>
        <w:t>官</w:t>
      </w:r>
      <w:r>
        <w:rPr>
          <w:rFonts w:hint="eastAsia" w:ascii="仿宋" w:hAnsi="仿宋" w:eastAsia="仿宋" w:cs="仿宋"/>
          <w:color w:val="auto"/>
          <w:sz w:val="28"/>
          <w:szCs w:val="28"/>
        </w:rPr>
        <w:t>网上云及二级等保”是指为舒城县人民医院官网提供网站上云资源和二级等保测评服务（含《舒城县人民医院官网系统》和《</w:t>
      </w:r>
      <w:r>
        <w:rPr>
          <w:rFonts w:hint="eastAsia" w:ascii="仿宋" w:hAnsi="仿宋" w:eastAsia="仿宋" w:cs="仿宋"/>
          <w:color w:val="auto"/>
          <w:sz w:val="28"/>
          <w:szCs w:val="28"/>
          <w:lang w:eastAsia="zh-CN"/>
        </w:rPr>
        <w:t>面向患者服务系统</w:t>
      </w:r>
      <w:r>
        <w:rPr>
          <w:rFonts w:hint="eastAsia" w:ascii="仿宋" w:hAnsi="仿宋" w:eastAsia="仿宋" w:cs="仿宋"/>
          <w:color w:val="auto"/>
          <w:sz w:val="28"/>
          <w:szCs w:val="28"/>
        </w:rPr>
        <w:t>》两个系统），供应商提供的平台服务包括：</w:t>
      </w:r>
    </w:p>
    <w:tbl>
      <w:tblPr>
        <w:tblStyle w:val="26"/>
        <w:tblW w:w="9507" w:type="dxa"/>
        <w:tblInd w:w="93" w:type="dxa"/>
        <w:tblLayout w:type="fixed"/>
        <w:tblCellMar>
          <w:top w:w="0" w:type="dxa"/>
          <w:left w:w="108" w:type="dxa"/>
          <w:bottom w:w="0" w:type="dxa"/>
          <w:right w:w="108" w:type="dxa"/>
        </w:tblCellMar>
      </w:tblPr>
      <w:tblGrid>
        <w:gridCol w:w="944"/>
        <w:gridCol w:w="2568"/>
        <w:gridCol w:w="5995"/>
      </w:tblGrid>
      <w:tr w14:paraId="68476479">
        <w:tblPrEx>
          <w:tblCellMar>
            <w:top w:w="0" w:type="dxa"/>
            <w:left w:w="108" w:type="dxa"/>
            <w:bottom w:w="0" w:type="dxa"/>
            <w:right w:w="108" w:type="dxa"/>
          </w:tblCellMar>
        </w:tblPrEx>
        <w:trPr>
          <w:trHeight w:val="330" w:hRule="atLeast"/>
        </w:trPr>
        <w:tc>
          <w:tcPr>
            <w:tcW w:w="944" w:type="dxa"/>
            <w:tcBorders>
              <w:top w:val="single" w:color="000000" w:sz="4" w:space="0"/>
              <w:left w:val="single" w:color="000000" w:sz="4" w:space="0"/>
              <w:bottom w:val="single" w:color="000000" w:sz="4" w:space="0"/>
              <w:right w:val="single" w:color="000000" w:sz="4" w:space="0"/>
            </w:tcBorders>
            <w:noWrap/>
            <w:vAlign w:val="center"/>
          </w:tcPr>
          <w:p w14:paraId="05B2E0FA">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序号</w:t>
            </w:r>
          </w:p>
        </w:tc>
        <w:tc>
          <w:tcPr>
            <w:tcW w:w="2568" w:type="dxa"/>
            <w:tcBorders>
              <w:top w:val="single" w:color="000000" w:sz="4" w:space="0"/>
              <w:left w:val="single" w:color="000000" w:sz="4" w:space="0"/>
              <w:bottom w:val="single" w:color="000000" w:sz="4" w:space="0"/>
              <w:right w:val="single" w:color="000000" w:sz="4" w:space="0"/>
            </w:tcBorders>
            <w:noWrap/>
            <w:vAlign w:val="center"/>
          </w:tcPr>
          <w:p w14:paraId="50BF7AC7">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产品</w:t>
            </w:r>
          </w:p>
        </w:tc>
        <w:tc>
          <w:tcPr>
            <w:tcW w:w="5995" w:type="dxa"/>
            <w:tcBorders>
              <w:top w:val="single" w:color="000000" w:sz="4" w:space="0"/>
              <w:left w:val="single" w:color="000000" w:sz="4" w:space="0"/>
              <w:bottom w:val="single" w:color="000000" w:sz="4" w:space="0"/>
              <w:right w:val="single" w:color="000000" w:sz="4" w:space="0"/>
            </w:tcBorders>
            <w:noWrap/>
            <w:vAlign w:val="center"/>
          </w:tcPr>
          <w:p w14:paraId="5CB51A1C">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配置</w:t>
            </w:r>
          </w:p>
        </w:tc>
      </w:tr>
      <w:tr w14:paraId="721560B9">
        <w:tblPrEx>
          <w:tblCellMar>
            <w:top w:w="0" w:type="dxa"/>
            <w:left w:w="108" w:type="dxa"/>
            <w:bottom w:w="0" w:type="dxa"/>
            <w:right w:w="108" w:type="dxa"/>
          </w:tblCellMar>
        </w:tblPrEx>
        <w:trPr>
          <w:trHeight w:val="330" w:hRule="atLeast"/>
        </w:trPr>
        <w:tc>
          <w:tcPr>
            <w:tcW w:w="944" w:type="dxa"/>
            <w:tcBorders>
              <w:top w:val="single" w:color="000000" w:sz="4" w:space="0"/>
              <w:left w:val="single" w:color="000000" w:sz="4" w:space="0"/>
              <w:bottom w:val="single" w:color="000000" w:sz="4" w:space="0"/>
              <w:right w:val="single" w:color="000000" w:sz="4" w:space="0"/>
            </w:tcBorders>
            <w:noWrap/>
            <w:vAlign w:val="center"/>
          </w:tcPr>
          <w:p w14:paraId="44027304">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1</w:t>
            </w:r>
          </w:p>
        </w:tc>
        <w:tc>
          <w:tcPr>
            <w:tcW w:w="2568" w:type="dxa"/>
            <w:tcBorders>
              <w:top w:val="single" w:color="000000" w:sz="4" w:space="0"/>
              <w:left w:val="single" w:color="000000" w:sz="4" w:space="0"/>
              <w:bottom w:val="single" w:color="000000" w:sz="4" w:space="0"/>
              <w:right w:val="single" w:color="000000" w:sz="4" w:space="0"/>
            </w:tcBorders>
            <w:noWrap/>
            <w:vAlign w:val="center"/>
          </w:tcPr>
          <w:p w14:paraId="340FE4FC">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通用型云主机</w:t>
            </w:r>
          </w:p>
        </w:tc>
        <w:tc>
          <w:tcPr>
            <w:tcW w:w="5995" w:type="dxa"/>
            <w:tcBorders>
              <w:top w:val="single" w:color="000000" w:sz="4" w:space="0"/>
              <w:left w:val="single" w:color="000000" w:sz="4" w:space="0"/>
              <w:bottom w:val="single" w:color="000000" w:sz="4" w:space="0"/>
              <w:right w:val="single" w:color="000000" w:sz="4" w:space="0"/>
            </w:tcBorders>
            <w:noWrap/>
            <w:vAlign w:val="center"/>
          </w:tcPr>
          <w:p w14:paraId="0C0CAEA2">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1、云主机最高可以支持单机144核CPU，1280G内存，并提供多种实例类型；</w:t>
            </w:r>
          </w:p>
          <w:p w14:paraId="3E5362F9">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2、本次配置≥4C处理器,</w:t>
            </w:r>
            <w:r>
              <w:rPr>
                <w:rFonts w:hint="eastAsia"/>
                <w:color w:val="FF0000"/>
              </w:rPr>
              <w:t xml:space="preserve"> </w:t>
            </w:r>
            <w:r>
              <w:rPr>
                <w:rFonts w:hint="eastAsia" w:ascii="仿宋" w:hAnsi="仿宋" w:eastAsia="仿宋" w:cs="仿宋"/>
                <w:color w:val="auto"/>
                <w:kern w:val="0"/>
                <w:sz w:val="28"/>
                <w:szCs w:val="28"/>
                <w:lang w:bidi="ar"/>
              </w:rPr>
              <w:t>主频≥2.60GHz</w:t>
            </w:r>
            <w:r>
              <w:rPr>
                <w:rFonts w:hint="eastAsia" w:ascii="仿宋" w:hAnsi="仿宋" w:eastAsia="仿宋" w:cs="仿宋"/>
                <w:color w:val="000000"/>
                <w:kern w:val="0"/>
                <w:sz w:val="28"/>
                <w:szCs w:val="28"/>
                <w:lang w:bidi="ar"/>
              </w:rPr>
              <w:t>，≥8G内存，≥40GB高性能系统盘，≥300GB数据盘；</w:t>
            </w:r>
          </w:p>
          <w:p w14:paraId="4C0C48E9">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3、支持计算能力的弹性伸缩，可根据定时、周期或监控策略，增加或减少云服务器实例；</w:t>
            </w:r>
          </w:p>
          <w:p w14:paraId="7BA2F6C2">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4、单台云主机系统盘最高支持1024GB（后台最大可配置2T，需工单申请），最高可挂载22块弹性云硬盘作为数据盘、单盘最高可达32TB，系统盘支持在线扩容；</w:t>
            </w:r>
          </w:p>
          <w:p w14:paraId="33E3256B">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val="en-US" w:eastAsia="zh-CN" w:bidi="ar"/>
              </w:rPr>
              <w:t>5</w:t>
            </w:r>
            <w:r>
              <w:rPr>
                <w:rFonts w:hint="eastAsia" w:ascii="仿宋" w:hAnsi="仿宋" w:eastAsia="仿宋" w:cs="仿宋"/>
                <w:color w:val="000000"/>
                <w:kern w:val="0"/>
                <w:sz w:val="28"/>
                <w:szCs w:val="28"/>
                <w:lang w:bidi="ar"/>
              </w:rPr>
              <w:t>、单台云主机API创建时间小于40s，支持根据已有云主机快速创建相同配置云主机；支持保存云主机创建参数为模板，并支持批量复制；</w:t>
            </w:r>
          </w:p>
          <w:p w14:paraId="2BAA5A52">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val="en-US" w:eastAsia="zh-CN" w:bidi="ar"/>
              </w:rPr>
              <w:t>6</w:t>
            </w:r>
            <w:r>
              <w:rPr>
                <w:rFonts w:hint="eastAsia" w:ascii="仿宋" w:hAnsi="仿宋" w:eastAsia="仿宋" w:cs="仿宋"/>
                <w:color w:val="000000"/>
                <w:kern w:val="0"/>
                <w:sz w:val="28"/>
                <w:szCs w:val="28"/>
                <w:lang w:bidi="ar"/>
              </w:rPr>
              <w:t>、云主机提供主流的Windows、Linux等操作系统，且均具备正版授权；</w:t>
            </w:r>
          </w:p>
          <w:p w14:paraId="1320D563">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val="en-US" w:eastAsia="zh-CN" w:bidi="ar"/>
              </w:rPr>
              <w:t>7</w:t>
            </w:r>
            <w:r>
              <w:rPr>
                <w:rFonts w:hint="eastAsia" w:ascii="仿宋" w:hAnsi="仿宋" w:eastAsia="仿宋" w:cs="仿宋"/>
                <w:color w:val="000000"/>
                <w:kern w:val="0"/>
                <w:sz w:val="28"/>
                <w:szCs w:val="28"/>
                <w:lang w:bidi="ar"/>
              </w:rPr>
              <w:t>、云主机基于KVM虚拟化引擎；</w:t>
            </w:r>
          </w:p>
          <w:p w14:paraId="2E46FA82">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val="en-US" w:eastAsia="zh-CN" w:bidi="ar"/>
              </w:rPr>
              <w:t>8</w:t>
            </w:r>
            <w:r>
              <w:rPr>
                <w:rFonts w:hint="eastAsia" w:ascii="仿宋" w:hAnsi="仿宋" w:eastAsia="仿宋" w:cs="仿宋"/>
                <w:color w:val="000000"/>
                <w:kern w:val="0"/>
                <w:sz w:val="28"/>
                <w:szCs w:val="28"/>
                <w:lang w:bidi="ar"/>
              </w:rPr>
              <w:t>、可指定用户预先配置好的镜像文件作为模板进行云主机的创建；</w:t>
            </w:r>
          </w:p>
          <w:p w14:paraId="496581F2">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val="en-US" w:eastAsia="zh-CN" w:bidi="ar"/>
              </w:rPr>
              <w:t>9</w:t>
            </w:r>
            <w:r>
              <w:rPr>
                <w:rFonts w:hint="eastAsia" w:ascii="仿宋" w:hAnsi="仿宋" w:eastAsia="仿宋" w:cs="仿宋"/>
                <w:color w:val="000000"/>
                <w:kern w:val="0"/>
                <w:sz w:val="28"/>
                <w:szCs w:val="28"/>
                <w:lang w:bidi="ar"/>
              </w:rPr>
              <w:t>、可导入RAW、VHD、QCOW2格式镜像，并且基于导入镜像创建云主机；</w:t>
            </w:r>
          </w:p>
          <w:p w14:paraId="2E8A8830">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val="en-US" w:eastAsia="zh-CN" w:bidi="ar"/>
              </w:rPr>
              <w:t>10</w:t>
            </w:r>
            <w:r>
              <w:rPr>
                <w:rFonts w:hint="eastAsia" w:ascii="仿宋" w:hAnsi="仿宋" w:eastAsia="仿宋" w:cs="仿宋"/>
                <w:color w:val="000000"/>
                <w:kern w:val="0"/>
                <w:sz w:val="28"/>
                <w:szCs w:val="28"/>
                <w:lang w:bidi="ar"/>
              </w:rPr>
              <w:t>、支持计算能力的弹性伸缩，可根据定时、周期或监控策略，增加或减少云服务器实例；</w:t>
            </w:r>
          </w:p>
          <w:p w14:paraId="6C1A7F80">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1</w:t>
            </w:r>
            <w:r>
              <w:rPr>
                <w:rFonts w:hint="eastAsia" w:ascii="仿宋" w:hAnsi="仿宋" w:eastAsia="仿宋" w:cs="仿宋"/>
                <w:color w:val="000000"/>
                <w:kern w:val="0"/>
                <w:sz w:val="28"/>
                <w:szCs w:val="28"/>
                <w:lang w:val="en-US" w:eastAsia="zh-CN" w:bidi="ar"/>
              </w:rPr>
              <w:t>1</w:t>
            </w:r>
            <w:r>
              <w:rPr>
                <w:rFonts w:hint="eastAsia" w:ascii="仿宋" w:hAnsi="仿宋" w:eastAsia="仿宋" w:cs="仿宋"/>
                <w:color w:val="000000"/>
                <w:kern w:val="0"/>
                <w:sz w:val="28"/>
                <w:szCs w:val="28"/>
                <w:lang w:bidi="ar"/>
              </w:rPr>
              <w:t>、云主机服务采用全冗余架构，无单点故障，可用性不低于99.975%；</w:t>
            </w:r>
          </w:p>
          <w:p w14:paraId="4646DD56">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1</w:t>
            </w:r>
            <w:r>
              <w:rPr>
                <w:rFonts w:hint="eastAsia" w:ascii="仿宋" w:hAnsi="仿宋" w:eastAsia="仿宋" w:cs="仿宋"/>
                <w:color w:val="000000"/>
                <w:kern w:val="0"/>
                <w:sz w:val="28"/>
                <w:szCs w:val="28"/>
                <w:lang w:val="en-US" w:eastAsia="zh-CN" w:bidi="ar"/>
              </w:rPr>
              <w:t>2</w:t>
            </w:r>
            <w:r>
              <w:rPr>
                <w:rFonts w:hint="eastAsia" w:ascii="仿宋" w:hAnsi="仿宋" w:eastAsia="仿宋" w:cs="仿宋"/>
                <w:color w:val="000000"/>
                <w:kern w:val="0"/>
                <w:sz w:val="28"/>
                <w:szCs w:val="28"/>
                <w:lang w:bidi="ar"/>
              </w:rPr>
              <w:t>、支持云主机回收站；</w:t>
            </w:r>
          </w:p>
          <w:p w14:paraId="2314034B">
            <w:pPr>
              <w:widowControl/>
              <w:jc w:val="left"/>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1</w:t>
            </w:r>
            <w:r>
              <w:rPr>
                <w:rFonts w:hint="eastAsia" w:ascii="仿宋" w:hAnsi="仿宋" w:eastAsia="仿宋" w:cs="仿宋"/>
                <w:color w:val="000000"/>
                <w:kern w:val="0"/>
                <w:sz w:val="28"/>
                <w:szCs w:val="28"/>
                <w:lang w:val="en-US" w:eastAsia="zh-CN" w:bidi="ar"/>
              </w:rPr>
              <w:t>3</w:t>
            </w:r>
            <w:r>
              <w:rPr>
                <w:rFonts w:hint="eastAsia" w:ascii="仿宋" w:hAnsi="仿宋" w:eastAsia="仿宋" w:cs="仿宋"/>
                <w:color w:val="000000"/>
                <w:kern w:val="0"/>
                <w:sz w:val="28"/>
                <w:szCs w:val="28"/>
                <w:lang w:bidi="ar"/>
              </w:rPr>
              <w:t>、支持将实例保存为启动模板，通过启动模板可快速创建相同配置云主机。</w:t>
            </w:r>
          </w:p>
        </w:tc>
      </w:tr>
      <w:tr w14:paraId="7AB2CA44">
        <w:tblPrEx>
          <w:tblCellMar>
            <w:top w:w="0" w:type="dxa"/>
            <w:left w:w="108" w:type="dxa"/>
            <w:bottom w:w="0" w:type="dxa"/>
            <w:right w:w="108" w:type="dxa"/>
          </w:tblCellMar>
        </w:tblPrEx>
        <w:trPr>
          <w:trHeight w:val="330" w:hRule="atLeast"/>
        </w:trPr>
        <w:tc>
          <w:tcPr>
            <w:tcW w:w="944" w:type="dxa"/>
            <w:tcBorders>
              <w:top w:val="single" w:color="000000" w:sz="4" w:space="0"/>
              <w:left w:val="single" w:color="000000" w:sz="4" w:space="0"/>
              <w:bottom w:val="single" w:color="000000" w:sz="4" w:space="0"/>
              <w:right w:val="single" w:color="000000" w:sz="4" w:space="0"/>
            </w:tcBorders>
            <w:noWrap/>
            <w:vAlign w:val="center"/>
          </w:tcPr>
          <w:p w14:paraId="535F06B9">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2</w:t>
            </w:r>
          </w:p>
        </w:tc>
        <w:tc>
          <w:tcPr>
            <w:tcW w:w="2568" w:type="dxa"/>
            <w:tcBorders>
              <w:top w:val="single" w:color="000000" w:sz="4" w:space="0"/>
              <w:left w:val="single" w:color="000000" w:sz="4" w:space="0"/>
              <w:bottom w:val="single" w:color="000000" w:sz="4" w:space="0"/>
              <w:right w:val="single" w:color="000000" w:sz="4" w:space="0"/>
            </w:tcBorders>
            <w:noWrap/>
            <w:vAlign w:val="center"/>
          </w:tcPr>
          <w:p w14:paraId="521C978D">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弹性公网IP</w:t>
            </w:r>
          </w:p>
        </w:tc>
        <w:tc>
          <w:tcPr>
            <w:tcW w:w="5995" w:type="dxa"/>
            <w:tcBorders>
              <w:top w:val="single" w:color="000000" w:sz="4" w:space="0"/>
              <w:left w:val="single" w:color="000000" w:sz="4" w:space="0"/>
              <w:bottom w:val="single" w:color="000000" w:sz="4" w:space="0"/>
              <w:right w:val="single" w:color="000000" w:sz="4" w:space="0"/>
            </w:tcBorders>
            <w:noWrap/>
            <w:vAlign w:val="center"/>
          </w:tcPr>
          <w:p w14:paraId="336CC7BE">
            <w:pPr>
              <w:widowControl/>
              <w:jc w:val="left"/>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1、提供独立的公网IP资源，包括IPv4地址与公网带宽服务，本次配置不低于5M互联网带宽。</w:t>
            </w:r>
          </w:p>
        </w:tc>
      </w:tr>
      <w:tr w14:paraId="75DD49F0">
        <w:tblPrEx>
          <w:tblCellMar>
            <w:top w:w="0" w:type="dxa"/>
            <w:left w:w="108" w:type="dxa"/>
            <w:bottom w:w="0" w:type="dxa"/>
            <w:right w:w="108" w:type="dxa"/>
          </w:tblCellMar>
        </w:tblPrEx>
        <w:trPr>
          <w:trHeight w:val="395" w:hRule="atLeast"/>
        </w:trPr>
        <w:tc>
          <w:tcPr>
            <w:tcW w:w="944" w:type="dxa"/>
            <w:tcBorders>
              <w:top w:val="single" w:color="000000" w:sz="4" w:space="0"/>
              <w:left w:val="single" w:color="000000" w:sz="4" w:space="0"/>
              <w:bottom w:val="single" w:color="000000" w:sz="4" w:space="0"/>
              <w:right w:val="single" w:color="000000" w:sz="4" w:space="0"/>
            </w:tcBorders>
            <w:noWrap/>
            <w:vAlign w:val="center"/>
          </w:tcPr>
          <w:p w14:paraId="3904548D">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3</w:t>
            </w:r>
          </w:p>
        </w:tc>
        <w:tc>
          <w:tcPr>
            <w:tcW w:w="2568" w:type="dxa"/>
            <w:tcBorders>
              <w:top w:val="single" w:color="000000" w:sz="4" w:space="0"/>
              <w:left w:val="single" w:color="000000" w:sz="4" w:space="0"/>
              <w:bottom w:val="single" w:color="000000" w:sz="4" w:space="0"/>
              <w:right w:val="single" w:color="000000" w:sz="4" w:space="0"/>
            </w:tcBorders>
            <w:noWrap/>
            <w:vAlign w:val="center"/>
          </w:tcPr>
          <w:p w14:paraId="169AEB13">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云下一代防火墙</w:t>
            </w:r>
          </w:p>
        </w:tc>
        <w:tc>
          <w:tcPr>
            <w:tcW w:w="5995" w:type="dxa"/>
            <w:tcBorders>
              <w:top w:val="single" w:color="000000" w:sz="4" w:space="0"/>
              <w:left w:val="single" w:color="000000" w:sz="4" w:space="0"/>
              <w:bottom w:val="single" w:color="000000" w:sz="4" w:space="0"/>
              <w:right w:val="single" w:color="000000" w:sz="4" w:space="0"/>
            </w:tcBorders>
            <w:vAlign w:val="center"/>
          </w:tcPr>
          <w:p w14:paraId="2D4E4D1B">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1、支持不少于8种的选路算法，包括但不限于最小抖动、最小延迟、最小丢包率、轮询、加权轮询等；</w:t>
            </w:r>
          </w:p>
          <w:p w14:paraId="54A338CF">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2、配置不低于50Mbps防护带宽；</w:t>
            </w:r>
          </w:p>
          <w:p w14:paraId="7945FE10">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3、支持源NAT、目的NAT、静态NAT，支持一对一、一对多和多对多等形式的NAT；支持NAT会话保持，使相同源IP的数据包经过地址转换后为其转换的源 IP 地址相同；</w:t>
            </w:r>
          </w:p>
          <w:p w14:paraId="5FF0DB15">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4、支持DNS 代理功能，能够把通过防火墙的DNS请求代理到指定的DNS服务器上做域名解析；能够将来自内部网络的域名解析请求定向到真实内网资源，提高访问效率；同时支持通过配置多条DNS代理，实现内网资源服务器的负载均衡；</w:t>
            </w:r>
          </w:p>
          <w:p w14:paraId="73FAD9BE">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5、支持基于策略的流量统计和会话统计；</w:t>
            </w:r>
          </w:p>
          <w:p w14:paraId="1B058444">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6、提供策略分析功能，支持策略命中分析、策略冗余分析、策略冲突检查、策略包含分析，可在WEB界面显示检测结果；支持防火墙策略导出；</w:t>
            </w:r>
          </w:p>
          <w:p w14:paraId="7804083D">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7、支持独立的入侵防护规则特征库，特征总数在1000条以上，能对常见漏洞进行安全防护；</w:t>
            </w:r>
          </w:p>
          <w:p w14:paraId="06F2F813">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8、防护带宽不低于100M，基于状态检测技术，通过安全域、IP地址、地域、服务、用户、应用、时间等维度对数据报文进行深度检测，针对面向互联网的云资产提供细粒度流量管控能力，阻断违规数据访问；</w:t>
            </w:r>
          </w:p>
          <w:p w14:paraId="1A835E59">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9、病毒特征库规模不低于1000万；</w:t>
            </w:r>
          </w:p>
          <w:p w14:paraId="60BABBDF">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10、支持加速功能，在设备对称部署情况下，在链路存在丢包、延迟、抖动等因素时，改善网络环境中的应用性能解决数据丢包、延迟等问题；</w:t>
            </w:r>
          </w:p>
          <w:p w14:paraId="6F5B95A8">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11、支持查看在线用户情况和用户流量，可显示用户流量、会话、应用并发连接列表及趋势图，支持用户流量排名；</w:t>
            </w:r>
          </w:p>
          <w:p w14:paraId="1351BAED">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12、支持本地CA和第三方CA，支持作为CA认证中心为其他人签发证书，也可采用第三方CA为其他人签发证书，支持标准CRL列表，支持CRL手工更新：</w:t>
            </w:r>
          </w:p>
          <w:p w14:paraId="7D36A1CC">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13、支持在WEB界面进行网络抓包，支持设置接口、IP、协议、端口等过滤条件，抓包文件支持导出；</w:t>
            </w:r>
          </w:p>
          <w:p w14:paraId="6AA5C00C">
            <w:pPr>
              <w:widowControl/>
              <w:jc w:val="left"/>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14、支持日志合并功能，相同类型的日志支持合并操作，降低日志流量开销。</w:t>
            </w:r>
          </w:p>
        </w:tc>
      </w:tr>
      <w:tr w14:paraId="7546BCE6">
        <w:tblPrEx>
          <w:tblCellMar>
            <w:top w:w="0" w:type="dxa"/>
            <w:left w:w="108" w:type="dxa"/>
            <w:bottom w:w="0" w:type="dxa"/>
            <w:right w:w="108" w:type="dxa"/>
          </w:tblCellMar>
        </w:tblPrEx>
        <w:trPr>
          <w:trHeight w:val="5988" w:hRule="atLeast"/>
        </w:trPr>
        <w:tc>
          <w:tcPr>
            <w:tcW w:w="944" w:type="dxa"/>
            <w:tcBorders>
              <w:top w:val="single" w:color="000000" w:sz="4" w:space="0"/>
              <w:left w:val="single" w:color="000000" w:sz="4" w:space="0"/>
              <w:bottom w:val="single" w:color="000000" w:sz="4" w:space="0"/>
              <w:right w:val="single" w:color="000000" w:sz="4" w:space="0"/>
            </w:tcBorders>
            <w:noWrap/>
            <w:vAlign w:val="center"/>
          </w:tcPr>
          <w:p w14:paraId="3DC6BBB2">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4</w:t>
            </w:r>
          </w:p>
        </w:tc>
        <w:tc>
          <w:tcPr>
            <w:tcW w:w="2568" w:type="dxa"/>
            <w:tcBorders>
              <w:top w:val="single" w:color="000000" w:sz="4" w:space="0"/>
              <w:left w:val="single" w:color="000000" w:sz="4" w:space="0"/>
              <w:bottom w:val="single" w:color="000000" w:sz="4" w:space="0"/>
              <w:right w:val="single" w:color="000000" w:sz="4" w:space="0"/>
            </w:tcBorders>
            <w:noWrap/>
            <w:vAlign w:val="center"/>
          </w:tcPr>
          <w:p w14:paraId="722344C5">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云主机安全</w:t>
            </w:r>
          </w:p>
        </w:tc>
        <w:tc>
          <w:tcPr>
            <w:tcW w:w="5995" w:type="dxa"/>
            <w:tcBorders>
              <w:top w:val="single" w:color="000000" w:sz="4" w:space="0"/>
              <w:left w:val="single" w:color="000000" w:sz="4" w:space="0"/>
              <w:bottom w:val="single" w:color="000000" w:sz="4" w:space="0"/>
              <w:right w:val="single" w:color="000000" w:sz="4" w:space="0"/>
            </w:tcBorders>
            <w:vAlign w:val="center"/>
          </w:tcPr>
          <w:p w14:paraId="45D0A40B">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1、采用Agent-Server架构模式，通过B/S管理方式对每个主机进行集中管理；</w:t>
            </w:r>
          </w:p>
          <w:p w14:paraId="6E4082AC">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2、支持设置客户端密码，防止终端用户随意停止、卸载；</w:t>
            </w:r>
          </w:p>
          <w:p w14:paraId="039971B6">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3、支持查看全网病毒风险趋势、补丁安装趋势并支持通过天、周、月、年维度进行统计；</w:t>
            </w:r>
          </w:p>
          <w:p w14:paraId="36E64721">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4、安全风险总览页面的风险分析界面能够根据资产整体的安全状态展示当前的安全评分。安全评分越高说明系统的安全隐患越少。支持展示补丁、弱密码、系统、应用、账号风险的检查结果，并能够点击结果查看风险详情；</w:t>
            </w:r>
          </w:p>
          <w:p w14:paraId="6A581579">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5、支持对流量的出站和入站进行监控，并可进行相应的阻断、放行操作；支持创建分组，通过分组对工作负载进行管理，包括添加、删除、编辑等操作；可支持根据工作组的相关属性以及工作负载的具体角色，创建角色标签；</w:t>
            </w:r>
          </w:p>
          <w:p w14:paraId="46D26953">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6、支持创建策略集，通过策略集对工作负载进行统一的流量控制管理；策略集可适用于仅支持对策略规则进行流量放行，仅支持对策略规则进行流量阻断以及自定义流入放行的场景；</w:t>
            </w:r>
          </w:p>
          <w:p w14:paraId="23904304">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7、支持业务拓扑的可视化展示，需提供工作负载基础信息及流量信；支持通过日志展示工作负载间包括TCP、UDP、ICMP流量类型的连接关系；</w:t>
            </w:r>
          </w:p>
          <w:p w14:paraId="08E69EF8">
            <w:pPr>
              <w:widowControl/>
              <w:jc w:val="left"/>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8、支持实时监控病毒文件落地及进程启动的行为，及时发现并检测病毒，避免通过扫描的方式增加系统负载。支持对病毒进行进程阻断、文件隔离和文件删除等操作，支持将非病毒文件加入白名单。支持对病毒所有的处理记录进行查看（包含手动杀毒和自动查杀），并可对处理成功的病毒进行管理和进一步处理，例如删除已隔离文件、还原已隔离文件等。支持自定义配置自动处理策略，病毒文件可被自动隔离。支持对防护模式进行更改，至少包括告警并隔离、仅告警等防护模式。</w:t>
            </w:r>
          </w:p>
        </w:tc>
      </w:tr>
      <w:tr w14:paraId="67A7F6BA">
        <w:tblPrEx>
          <w:tblCellMar>
            <w:top w:w="0" w:type="dxa"/>
            <w:left w:w="108" w:type="dxa"/>
            <w:bottom w:w="0" w:type="dxa"/>
            <w:right w:w="108" w:type="dxa"/>
          </w:tblCellMar>
        </w:tblPrEx>
        <w:trPr>
          <w:trHeight w:val="330" w:hRule="atLeast"/>
        </w:trPr>
        <w:tc>
          <w:tcPr>
            <w:tcW w:w="944" w:type="dxa"/>
            <w:tcBorders>
              <w:top w:val="single" w:color="000000" w:sz="4" w:space="0"/>
              <w:left w:val="single" w:color="000000" w:sz="4" w:space="0"/>
              <w:bottom w:val="single" w:color="000000" w:sz="4" w:space="0"/>
              <w:right w:val="single" w:color="000000" w:sz="4" w:space="0"/>
            </w:tcBorders>
            <w:noWrap/>
            <w:vAlign w:val="center"/>
          </w:tcPr>
          <w:p w14:paraId="6A61C53F">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5</w:t>
            </w:r>
          </w:p>
        </w:tc>
        <w:tc>
          <w:tcPr>
            <w:tcW w:w="2568" w:type="dxa"/>
            <w:tcBorders>
              <w:top w:val="single" w:color="000000" w:sz="4" w:space="0"/>
              <w:left w:val="single" w:color="000000" w:sz="4" w:space="0"/>
              <w:bottom w:val="single" w:color="000000" w:sz="4" w:space="0"/>
              <w:right w:val="single" w:color="000000" w:sz="4" w:space="0"/>
            </w:tcBorders>
            <w:noWrap/>
            <w:vAlign w:val="center"/>
          </w:tcPr>
          <w:p w14:paraId="2444E0C2">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云日志审计</w:t>
            </w:r>
          </w:p>
        </w:tc>
        <w:tc>
          <w:tcPr>
            <w:tcW w:w="5995" w:type="dxa"/>
            <w:tcBorders>
              <w:top w:val="single" w:color="000000" w:sz="4" w:space="0"/>
              <w:left w:val="single" w:color="000000" w:sz="4" w:space="0"/>
              <w:bottom w:val="single" w:color="000000" w:sz="4" w:space="0"/>
              <w:right w:val="single" w:color="000000" w:sz="4" w:space="0"/>
            </w:tcBorders>
            <w:vAlign w:val="center"/>
          </w:tcPr>
          <w:p w14:paraId="04C788AE">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1、配置不低于10个日志源；</w:t>
            </w:r>
          </w:p>
          <w:p w14:paraId="6E868F6B">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2、支持SNMP Trap、Syslog、ODBC\JDBC、文件\文件夹、WMI、FTP、SFTP、SMB、NetBIOS、OPSEC等多种方式完成日志收集功能；</w:t>
            </w:r>
          </w:p>
          <w:p w14:paraId="2605965C">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3、支持HTTP／HTTPS协议接口进行采集任务配置实现日志数据采集；</w:t>
            </w:r>
          </w:p>
          <w:p w14:paraId="48A592A2">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4、支持定制任务进行日志数据采集扩展，包括文本格式、目录下文本和数据库格式日志采集，支持编辑正则表达式和SQL语句进行日志采集，支持设置自定义任务时间；</w:t>
            </w:r>
          </w:p>
          <w:p w14:paraId="53349E74">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5、支持对主流安全设备、网络设备、服务器、终端、数据库、中间件、大数据组件、应用系统等设备系统进行日志采集，包括交换机和路由器、虚拟化及云计算平台、蜜罐系统、终端管理系统、防火墙、VPN、防病毒网关、入侵检测系统、入侵防御系统、WAF、内容过滤网关、负载均衡设备、数据库设备、Windows/Linux操作系统、隔离交换设备等设备组件系统；</w:t>
            </w:r>
          </w:p>
          <w:p w14:paraId="092FFE9A">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6、支持对范式化字段进行枚举，范式化字段至少包括事件接收时间、用户名称、源地址、源端口、操作、目的地址、目的端口、对象、结果、持续时间、响应、归并条目、事件名称、事件内容摘要、事件分类、等级、原始等级、原始类型、产生时间、网络协议、网络应用协议、设备地址、设备名称、设备类型、程序名称、原始消息、厂商、产品、解析关联等65个字段，字段名称支持自定义；</w:t>
            </w:r>
          </w:p>
          <w:p w14:paraId="65CAF6DF">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7、支持扩展备用字段使用，可灵活进行特殊字段的标记解析；自定义扩展规范化事件字段并对扩展字段进行重定义；</w:t>
            </w:r>
          </w:p>
          <w:p w14:paraId="04F7C7A9">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8、支持全智能范式化解析模式，通过配置原始日志标识库，系统自动识别原始日志，并匹配映射系统通用标准字段，支持解析字段的编辑和调整，确保日志解析的高精准度；</w:t>
            </w:r>
          </w:p>
          <w:p w14:paraId="08AAB4EB">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9、支持实时检索功能，支持输入关键字进行全文搜索，从海量事件原始信息中获取与关键字匹配或部分匹配的所有事件；</w:t>
            </w:r>
          </w:p>
          <w:p w14:paraId="404603AF">
            <w:pPr>
              <w:widowControl/>
              <w:jc w:val="left"/>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10、支持日志加密压缩传输，支持加密压缩方式转发，加密方式支持SM4国密算法，支持定时转发；</w:t>
            </w:r>
          </w:p>
        </w:tc>
      </w:tr>
      <w:tr w14:paraId="5DDF5094">
        <w:tblPrEx>
          <w:tblCellMar>
            <w:top w:w="0" w:type="dxa"/>
            <w:left w:w="108" w:type="dxa"/>
            <w:bottom w:w="0" w:type="dxa"/>
            <w:right w:w="108" w:type="dxa"/>
          </w:tblCellMar>
        </w:tblPrEx>
        <w:trPr>
          <w:trHeight w:val="330" w:hRule="atLeast"/>
        </w:trPr>
        <w:tc>
          <w:tcPr>
            <w:tcW w:w="944" w:type="dxa"/>
            <w:tcBorders>
              <w:top w:val="single" w:color="000000" w:sz="4" w:space="0"/>
              <w:left w:val="single" w:color="000000" w:sz="4" w:space="0"/>
              <w:bottom w:val="single" w:color="000000" w:sz="4" w:space="0"/>
              <w:right w:val="single" w:color="000000" w:sz="4" w:space="0"/>
            </w:tcBorders>
            <w:noWrap/>
            <w:vAlign w:val="center"/>
          </w:tcPr>
          <w:p w14:paraId="0424FF55">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6</w:t>
            </w:r>
          </w:p>
        </w:tc>
        <w:tc>
          <w:tcPr>
            <w:tcW w:w="2568" w:type="dxa"/>
            <w:tcBorders>
              <w:top w:val="single" w:color="000000" w:sz="4" w:space="0"/>
              <w:left w:val="single" w:color="000000" w:sz="4" w:space="0"/>
              <w:bottom w:val="single" w:color="000000" w:sz="4" w:space="0"/>
              <w:right w:val="single" w:color="000000" w:sz="4" w:space="0"/>
            </w:tcBorders>
            <w:noWrap/>
            <w:vAlign w:val="center"/>
          </w:tcPr>
          <w:p w14:paraId="55218E54">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云备份</w:t>
            </w:r>
          </w:p>
        </w:tc>
        <w:tc>
          <w:tcPr>
            <w:tcW w:w="5995" w:type="dxa"/>
            <w:tcBorders>
              <w:top w:val="single" w:color="000000" w:sz="4" w:space="0"/>
              <w:left w:val="single" w:color="000000" w:sz="4" w:space="0"/>
              <w:bottom w:val="single" w:color="000000" w:sz="4" w:space="0"/>
              <w:right w:val="single" w:color="000000" w:sz="4" w:space="0"/>
            </w:tcBorders>
            <w:vAlign w:val="center"/>
          </w:tcPr>
          <w:p w14:paraId="08B0DAF6">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1、为云服务器系统盘提供的备份保护服务，可随时进行备份，针对病毒入侵、人为误删除、软硬件故障等场景可从任意备份点恢复数据；</w:t>
            </w:r>
          </w:p>
          <w:p w14:paraId="34022362">
            <w:pPr>
              <w:widowControl/>
              <w:jc w:val="left"/>
              <w:textAlignment w:val="center"/>
            </w:pPr>
            <w:r>
              <w:rPr>
                <w:rFonts w:hint="eastAsia" w:ascii="仿宋" w:hAnsi="仿宋" w:eastAsia="仿宋" w:cs="仿宋"/>
                <w:sz w:val="28"/>
                <w:szCs w:val="28"/>
              </w:rPr>
              <w:t>2、本次配置不低于350GB容量授权。</w:t>
            </w:r>
          </w:p>
        </w:tc>
      </w:tr>
      <w:tr w14:paraId="55E55436">
        <w:tblPrEx>
          <w:tblCellMar>
            <w:top w:w="0" w:type="dxa"/>
            <w:left w:w="108" w:type="dxa"/>
            <w:bottom w:w="0" w:type="dxa"/>
            <w:right w:w="108" w:type="dxa"/>
          </w:tblCellMar>
        </w:tblPrEx>
        <w:trPr>
          <w:trHeight w:val="950" w:hRule="atLeast"/>
        </w:trPr>
        <w:tc>
          <w:tcPr>
            <w:tcW w:w="944" w:type="dxa"/>
            <w:tcBorders>
              <w:top w:val="single" w:color="000000" w:sz="4" w:space="0"/>
              <w:left w:val="single" w:color="000000" w:sz="4" w:space="0"/>
              <w:bottom w:val="single" w:color="000000" w:sz="4" w:space="0"/>
              <w:right w:val="single" w:color="000000" w:sz="4" w:space="0"/>
            </w:tcBorders>
            <w:noWrap/>
            <w:vAlign w:val="center"/>
          </w:tcPr>
          <w:p w14:paraId="7CF37B28">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7</w:t>
            </w:r>
          </w:p>
        </w:tc>
        <w:tc>
          <w:tcPr>
            <w:tcW w:w="2568" w:type="dxa"/>
            <w:tcBorders>
              <w:top w:val="single" w:color="000000" w:sz="4" w:space="0"/>
              <w:left w:val="single" w:color="000000" w:sz="4" w:space="0"/>
              <w:bottom w:val="single" w:color="000000" w:sz="4" w:space="0"/>
              <w:right w:val="single" w:color="000000" w:sz="4" w:space="0"/>
            </w:tcBorders>
            <w:noWrap/>
            <w:vAlign w:val="center"/>
          </w:tcPr>
          <w:p w14:paraId="533A203E">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共享带宽</w:t>
            </w:r>
          </w:p>
        </w:tc>
        <w:tc>
          <w:tcPr>
            <w:tcW w:w="5995" w:type="dxa"/>
            <w:tcBorders>
              <w:top w:val="single" w:color="000000" w:sz="4" w:space="0"/>
              <w:left w:val="single" w:color="000000" w:sz="4" w:space="0"/>
              <w:bottom w:val="single" w:color="000000" w:sz="4" w:space="0"/>
              <w:right w:val="single" w:color="000000" w:sz="4" w:space="0"/>
            </w:tcBorders>
            <w:vAlign w:val="center"/>
          </w:tcPr>
          <w:p w14:paraId="7818D3C7">
            <w:pPr>
              <w:widowControl/>
              <w:jc w:val="left"/>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1、支持将多个公网IP添加到一个共享带宽实例中，从而复用共享带宽的带宽，本次配置不低于5M共享带宽。</w:t>
            </w:r>
          </w:p>
        </w:tc>
      </w:tr>
      <w:tr w14:paraId="35BB2F52">
        <w:tblPrEx>
          <w:tblCellMar>
            <w:top w:w="0" w:type="dxa"/>
            <w:left w:w="108" w:type="dxa"/>
            <w:bottom w:w="0" w:type="dxa"/>
            <w:right w:w="108" w:type="dxa"/>
          </w:tblCellMar>
        </w:tblPrEx>
        <w:trPr>
          <w:trHeight w:val="330" w:hRule="atLeast"/>
        </w:trPr>
        <w:tc>
          <w:tcPr>
            <w:tcW w:w="944" w:type="dxa"/>
            <w:tcBorders>
              <w:top w:val="single" w:color="000000" w:sz="4" w:space="0"/>
              <w:left w:val="single" w:color="000000" w:sz="4" w:space="0"/>
              <w:bottom w:val="single" w:color="000000" w:sz="4" w:space="0"/>
              <w:right w:val="single" w:color="000000" w:sz="4" w:space="0"/>
            </w:tcBorders>
            <w:noWrap/>
            <w:vAlign w:val="center"/>
          </w:tcPr>
          <w:p w14:paraId="21F84CA1">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8</w:t>
            </w:r>
          </w:p>
        </w:tc>
        <w:tc>
          <w:tcPr>
            <w:tcW w:w="2568" w:type="dxa"/>
            <w:tcBorders>
              <w:top w:val="single" w:color="000000" w:sz="4" w:space="0"/>
              <w:left w:val="single" w:color="000000" w:sz="4" w:space="0"/>
              <w:bottom w:val="single" w:color="000000" w:sz="4" w:space="0"/>
              <w:right w:val="single" w:color="000000" w:sz="4" w:space="0"/>
            </w:tcBorders>
            <w:noWrap/>
            <w:vAlign w:val="center"/>
          </w:tcPr>
          <w:p w14:paraId="474DD6D8">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SSL证书</w:t>
            </w:r>
          </w:p>
        </w:tc>
        <w:tc>
          <w:tcPr>
            <w:tcW w:w="5995" w:type="dxa"/>
            <w:tcBorders>
              <w:top w:val="single" w:color="000000" w:sz="4" w:space="0"/>
              <w:left w:val="single" w:color="000000" w:sz="4" w:space="0"/>
              <w:bottom w:val="single" w:color="000000" w:sz="4" w:space="0"/>
              <w:right w:val="single" w:color="000000" w:sz="4" w:space="0"/>
            </w:tcBorders>
            <w:vAlign w:val="center"/>
          </w:tcPr>
          <w:p w14:paraId="05E7E803">
            <w:pPr>
              <w:widowControl/>
              <w:jc w:val="left"/>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1、不低于1个企业型（OV）通配符SSL证书；</w:t>
            </w:r>
          </w:p>
        </w:tc>
      </w:tr>
      <w:tr w14:paraId="79DAA929">
        <w:tblPrEx>
          <w:tblCellMar>
            <w:top w:w="0" w:type="dxa"/>
            <w:left w:w="108" w:type="dxa"/>
            <w:bottom w:w="0" w:type="dxa"/>
            <w:right w:w="108" w:type="dxa"/>
          </w:tblCellMar>
        </w:tblPrEx>
        <w:trPr>
          <w:trHeight w:val="756" w:hRule="atLeast"/>
        </w:trPr>
        <w:tc>
          <w:tcPr>
            <w:tcW w:w="944" w:type="dxa"/>
            <w:tcBorders>
              <w:top w:val="single" w:color="000000" w:sz="4" w:space="0"/>
              <w:left w:val="single" w:color="000000" w:sz="4" w:space="0"/>
              <w:bottom w:val="single" w:color="000000" w:sz="4" w:space="0"/>
              <w:right w:val="single" w:color="000000" w:sz="4" w:space="0"/>
            </w:tcBorders>
            <w:noWrap/>
            <w:vAlign w:val="center"/>
          </w:tcPr>
          <w:p w14:paraId="78EBC0D9">
            <w:pPr>
              <w:widowControl/>
              <w:jc w:val="center"/>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9</w:t>
            </w:r>
          </w:p>
        </w:tc>
        <w:tc>
          <w:tcPr>
            <w:tcW w:w="2568" w:type="dxa"/>
            <w:tcBorders>
              <w:top w:val="single" w:color="000000" w:sz="4" w:space="0"/>
              <w:left w:val="single" w:color="000000" w:sz="4" w:space="0"/>
              <w:bottom w:val="single" w:color="000000" w:sz="4" w:space="0"/>
              <w:right w:val="single" w:color="000000" w:sz="4" w:space="0"/>
            </w:tcBorders>
            <w:noWrap/>
            <w:vAlign w:val="center"/>
          </w:tcPr>
          <w:p w14:paraId="32A06C77">
            <w:pPr>
              <w:widowControl/>
              <w:jc w:val="center"/>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二级等保服务</w:t>
            </w:r>
          </w:p>
        </w:tc>
        <w:tc>
          <w:tcPr>
            <w:tcW w:w="5995" w:type="dxa"/>
            <w:tcBorders>
              <w:top w:val="single" w:color="000000" w:sz="4" w:space="0"/>
              <w:left w:val="single" w:color="000000" w:sz="4" w:space="0"/>
              <w:bottom w:val="single" w:color="000000" w:sz="4" w:space="0"/>
              <w:right w:val="single" w:color="000000" w:sz="4" w:space="0"/>
            </w:tcBorders>
            <w:vAlign w:val="center"/>
          </w:tcPr>
          <w:p w14:paraId="7AB0B081">
            <w:pPr>
              <w:widowControl/>
              <w:jc w:val="left"/>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二级等保测评 (</w:t>
            </w:r>
            <w:r>
              <w:rPr>
                <w:rFonts w:hint="eastAsia" w:ascii="仿宋" w:hAnsi="仿宋" w:eastAsia="仿宋" w:cs="仿宋"/>
                <w:color w:val="auto"/>
                <w:sz w:val="28"/>
                <w:szCs w:val="28"/>
              </w:rPr>
              <w:t>舒城县人民医院官网系统</w:t>
            </w:r>
            <w:r>
              <w:rPr>
                <w:rFonts w:hint="eastAsia" w:ascii="仿宋" w:hAnsi="仿宋" w:eastAsia="仿宋" w:cs="仿宋"/>
                <w:color w:val="000000"/>
                <w:kern w:val="0"/>
                <w:sz w:val="28"/>
                <w:szCs w:val="28"/>
                <w:lang w:bidi="ar"/>
              </w:rPr>
              <w:t>和</w:t>
            </w:r>
            <w:r>
              <w:rPr>
                <w:rFonts w:hint="eastAsia" w:ascii="仿宋" w:hAnsi="仿宋" w:eastAsia="仿宋" w:cs="仿宋"/>
                <w:color w:val="000000"/>
                <w:kern w:val="0"/>
                <w:sz w:val="28"/>
                <w:szCs w:val="28"/>
                <w:lang w:eastAsia="zh-CN" w:bidi="ar"/>
              </w:rPr>
              <w:t>面向患者服务系统</w:t>
            </w:r>
            <w:r>
              <w:rPr>
                <w:rFonts w:hint="eastAsia" w:ascii="仿宋" w:hAnsi="仿宋" w:eastAsia="仿宋" w:cs="仿宋"/>
                <w:color w:val="000000"/>
                <w:kern w:val="0"/>
                <w:sz w:val="28"/>
                <w:szCs w:val="28"/>
                <w:lang w:bidi="ar"/>
              </w:rPr>
              <w:t>）服务，各1次/2年。</w:t>
            </w:r>
          </w:p>
        </w:tc>
      </w:tr>
      <w:tr w14:paraId="76EE0E23">
        <w:tblPrEx>
          <w:tblCellMar>
            <w:top w:w="0" w:type="dxa"/>
            <w:left w:w="108" w:type="dxa"/>
            <w:bottom w:w="0" w:type="dxa"/>
            <w:right w:w="108" w:type="dxa"/>
          </w:tblCellMar>
        </w:tblPrEx>
        <w:trPr>
          <w:trHeight w:val="756" w:hRule="atLeast"/>
        </w:trPr>
        <w:tc>
          <w:tcPr>
            <w:tcW w:w="944" w:type="dxa"/>
            <w:tcBorders>
              <w:top w:val="single" w:color="000000" w:sz="4" w:space="0"/>
              <w:left w:val="single" w:color="000000" w:sz="4" w:space="0"/>
              <w:bottom w:val="single" w:color="000000" w:sz="4" w:space="0"/>
              <w:right w:val="single" w:color="000000" w:sz="4" w:space="0"/>
            </w:tcBorders>
            <w:noWrap/>
            <w:vAlign w:val="center"/>
          </w:tcPr>
          <w:p w14:paraId="6200E9DC">
            <w:pPr>
              <w:widowControl/>
              <w:jc w:val="center"/>
              <w:textAlignment w:val="center"/>
              <w:rPr>
                <w:rFonts w:hint="default"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10</w:t>
            </w:r>
          </w:p>
        </w:tc>
        <w:tc>
          <w:tcPr>
            <w:tcW w:w="2568" w:type="dxa"/>
            <w:tcBorders>
              <w:top w:val="single" w:color="000000" w:sz="4" w:space="0"/>
              <w:left w:val="single" w:color="000000" w:sz="4" w:space="0"/>
              <w:bottom w:val="single" w:color="000000" w:sz="4" w:space="0"/>
              <w:right w:val="single" w:color="000000" w:sz="4" w:space="0"/>
            </w:tcBorders>
            <w:noWrap/>
            <w:vAlign w:val="center"/>
          </w:tcPr>
          <w:p w14:paraId="6EEAA683">
            <w:pPr>
              <w:widowControl/>
              <w:jc w:val="both"/>
              <w:textAlignment w:val="center"/>
              <w:rPr>
                <w:rFonts w:hint="default"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CIIPT培训及考试名额</w:t>
            </w:r>
          </w:p>
        </w:tc>
        <w:tc>
          <w:tcPr>
            <w:tcW w:w="5995" w:type="dxa"/>
            <w:tcBorders>
              <w:top w:val="single" w:color="000000" w:sz="4" w:space="0"/>
              <w:left w:val="single" w:color="000000" w:sz="4" w:space="0"/>
              <w:bottom w:val="single" w:color="000000" w:sz="4" w:space="0"/>
              <w:right w:val="single" w:color="000000" w:sz="4" w:space="0"/>
            </w:tcBorders>
            <w:vAlign w:val="center"/>
          </w:tcPr>
          <w:p w14:paraId="789111F2">
            <w:pPr>
              <w:widowControl/>
              <w:jc w:val="left"/>
              <w:textAlignment w:val="center"/>
              <w:rPr>
                <w:rFonts w:hint="default"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提供CIIPT培训及考试名额1人，相关费用由中标人提供，医院不再单独支付费用</w:t>
            </w:r>
          </w:p>
        </w:tc>
      </w:tr>
    </w:tbl>
    <w:p w14:paraId="4361B052">
      <w:pPr>
        <w:rPr>
          <w:rFonts w:hint="default"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bidi="ar"/>
        </w:rPr>
        <w:t>2、以上资源服务期均为2年</w:t>
      </w:r>
      <w:r>
        <w:rPr>
          <w:rFonts w:hint="eastAsia" w:ascii="仿宋" w:hAnsi="仿宋" w:eastAsia="仿宋" w:cs="仿宋"/>
          <w:color w:val="auto"/>
          <w:kern w:val="0"/>
          <w:sz w:val="28"/>
          <w:szCs w:val="28"/>
          <w:lang w:eastAsia="zh-CN" w:bidi="ar"/>
        </w:rPr>
        <w:t>，</w:t>
      </w:r>
      <w:r>
        <w:rPr>
          <w:rFonts w:hint="eastAsia" w:ascii="仿宋" w:hAnsi="仿宋" w:eastAsia="仿宋" w:cs="仿宋"/>
          <w:color w:val="auto"/>
          <w:kern w:val="0"/>
          <w:sz w:val="28"/>
          <w:szCs w:val="28"/>
          <w:lang w:val="en-US" w:eastAsia="zh-CN" w:bidi="ar"/>
        </w:rPr>
        <w:t>供应商需要全部满足需求。</w:t>
      </w:r>
    </w:p>
    <w:p w14:paraId="5B63626D">
      <w:pPr>
        <w:rPr>
          <w:rFonts w:hint="eastAsia" w:ascii="仿宋" w:hAnsi="仿宋" w:eastAsia="仿宋" w:cs="仿宋"/>
          <w:color w:val="auto"/>
          <w:kern w:val="0"/>
          <w:sz w:val="28"/>
          <w:szCs w:val="28"/>
          <w:lang w:bidi="ar"/>
        </w:rPr>
      </w:pPr>
      <w:r>
        <w:rPr>
          <w:rFonts w:hint="eastAsia" w:ascii="仿宋" w:hAnsi="仿宋" w:eastAsia="仿宋" w:cs="仿宋"/>
          <w:color w:val="auto"/>
          <w:kern w:val="0"/>
          <w:sz w:val="28"/>
          <w:szCs w:val="28"/>
          <w:lang w:bidi="ar"/>
        </w:rPr>
        <w:t>3、其中二级等保2年认证一次，费用由中标供应商承担，医院配合提供相关材料。</w:t>
      </w:r>
    </w:p>
    <w:p w14:paraId="73212E56">
      <w:pPr>
        <w:rPr>
          <w:rFonts w:hint="eastAsia" w:ascii="仿宋" w:hAnsi="仿宋" w:eastAsia="仿宋" w:cs="仿宋"/>
          <w:color w:val="auto"/>
          <w:kern w:val="0"/>
          <w:sz w:val="28"/>
          <w:szCs w:val="28"/>
          <w:lang w:bidi="ar"/>
        </w:rPr>
      </w:pPr>
      <w:r>
        <w:rPr>
          <w:rFonts w:hint="eastAsia" w:ascii="仿宋" w:hAnsi="仿宋" w:eastAsia="仿宋" w:cs="仿宋"/>
          <w:color w:val="auto"/>
          <w:kern w:val="0"/>
          <w:sz w:val="28"/>
          <w:szCs w:val="28"/>
          <w:lang w:bidi="ar"/>
        </w:rPr>
        <w:t>4、中标供应商需免费配合医院进行业务迁移。</w:t>
      </w:r>
    </w:p>
    <w:p w14:paraId="13F0263F">
      <w:pPr>
        <w:pStyle w:val="6"/>
        <w:rPr>
          <w:rFonts w:hint="eastAsia" w:ascii="仿宋" w:hAnsi="仿宋" w:eastAsia="仿宋" w:cs="仿宋"/>
          <w:b w:val="0"/>
          <w:bCs/>
          <w:kern w:val="2"/>
          <w:sz w:val="28"/>
          <w:szCs w:val="28"/>
          <w:lang w:val="en-US" w:eastAsia="zh-CN" w:bidi="ar-SA"/>
        </w:rPr>
      </w:pPr>
      <w:r>
        <w:rPr>
          <w:rFonts w:hint="eastAsia" w:ascii="仿宋" w:hAnsi="仿宋" w:eastAsia="仿宋" w:cs="仿宋"/>
          <w:b w:val="0"/>
          <w:bCs/>
          <w:kern w:val="2"/>
          <w:sz w:val="28"/>
          <w:szCs w:val="28"/>
          <w:lang w:val="en-US" w:eastAsia="zh-CN" w:bidi="ar-SA"/>
        </w:rPr>
        <w:t>5、考核内容及标准
</w:t>
      </w:r>
    </w:p>
    <w:p w14:paraId="47B5A916">
      <w:pPr>
        <w:pStyle w:val="6"/>
        <w:rPr>
          <w:rFonts w:hint="eastAsia" w:ascii="仿宋" w:hAnsi="仿宋" w:eastAsia="仿宋" w:cs="仿宋"/>
          <w:b w:val="0"/>
          <w:bCs/>
          <w:kern w:val="2"/>
          <w:sz w:val="28"/>
          <w:szCs w:val="28"/>
          <w:lang w:val="en-US" w:eastAsia="zh-CN" w:bidi="ar-SA"/>
        </w:rPr>
      </w:pPr>
      <w:r>
        <w:rPr>
          <w:rFonts w:hint="eastAsia" w:ascii="仿宋" w:hAnsi="仿宋" w:eastAsia="仿宋" w:cs="仿宋"/>
          <w:b w:val="0"/>
          <w:bCs/>
          <w:kern w:val="2"/>
          <w:sz w:val="28"/>
          <w:szCs w:val="28"/>
          <w:lang w:val="en-US" w:eastAsia="zh-CN" w:bidi="ar-SA"/>
        </w:rPr>
        <w:t>（一）云资源考核
</w:t>
      </w:r>
    </w:p>
    <w:p w14:paraId="49102B84">
      <w:pPr>
        <w:pStyle w:val="68"/>
        <w:numPr>
          <w:ilvl w:val="0"/>
          <w:numId w:val="0"/>
        </w:numPr>
        <w:ind w:left="288" w:leftChars="0" w:hanging="288" w:firstLineChars="0"/>
        <w:rPr>
          <w:rFonts w:hint="eastAsia" w:ascii="仿宋" w:hAnsi="仿宋" w:eastAsia="仿宋" w:cs="仿宋"/>
          <w:b w:val="0"/>
          <w:bCs/>
          <w:kern w:val="2"/>
          <w:sz w:val="28"/>
          <w:szCs w:val="28"/>
          <w:lang w:val="en-US" w:eastAsia="zh-CN" w:bidi="ar-SA"/>
        </w:rPr>
      </w:pPr>
      <w:r>
        <w:rPr>
          <w:rFonts w:hint="eastAsia" w:ascii="仿宋" w:hAnsi="仿宋" w:eastAsia="仿宋" w:cs="仿宋"/>
          <w:b w:val="0"/>
          <w:bCs/>
          <w:color w:val="auto"/>
          <w:kern w:val="2"/>
          <w:sz w:val="22"/>
          <w:szCs w:val="22"/>
          <w:lang w:val="en-US" w:eastAsia="zh-CN" w:bidi="ar-SA"/>
        </w:rPr>
        <w:t>（1）</w:t>
      </w:r>
      <w:r>
        <w:rPr>
          <w:rFonts w:hint="eastAsia" w:ascii="仿宋" w:hAnsi="仿宋" w:eastAsia="仿宋" w:cs="仿宋"/>
          <w:b w:val="0"/>
          <w:bCs/>
          <w:kern w:val="2"/>
          <w:sz w:val="28"/>
          <w:szCs w:val="28"/>
          <w:lang w:val="en-US" w:eastAsia="zh-CN" w:bidi="ar-SA"/>
        </w:rPr>
        <w:t>资源交付</w:t>
      </w:r>
    </w:p>
    <w:p w14:paraId="42F351C1">
      <w:pPr>
        <w:pStyle w:val="68"/>
        <w:numPr>
          <w:ilvl w:val="1"/>
          <w:numId w:val="0"/>
        </w:numPr>
        <w:ind w:left="720" w:leftChars="0" w:hanging="288" w:firstLineChars="0"/>
        <w:rPr>
          <w:rFonts w:hint="eastAsia" w:ascii="仿宋" w:hAnsi="仿宋" w:eastAsia="仿宋" w:cs="仿宋"/>
          <w:b w:val="0"/>
          <w:bCs/>
          <w:kern w:val="2"/>
          <w:sz w:val="28"/>
          <w:szCs w:val="28"/>
          <w:lang w:val="en-US" w:eastAsia="zh-CN" w:bidi="ar-SA"/>
        </w:rPr>
      </w:pPr>
      <w:r>
        <w:rPr>
          <w:rFonts w:hint="eastAsia" w:ascii="仿宋" w:hAnsi="仿宋" w:eastAsia="仿宋" w:cs="仿宋"/>
          <w:b w:val="0"/>
          <w:bCs/>
          <w:color w:val="auto"/>
          <w:kern w:val="2"/>
          <w:sz w:val="22"/>
          <w:szCs w:val="22"/>
          <w:lang w:val="en-US" w:eastAsia="zh-CN" w:bidi="ar-SA"/>
        </w:rPr>
        <w:t>①</w:t>
      </w:r>
      <w:r>
        <w:rPr>
          <w:rFonts w:hint="eastAsia" w:ascii="仿宋" w:hAnsi="仿宋" w:eastAsia="仿宋" w:cs="仿宋"/>
          <w:b w:val="0"/>
          <w:bCs/>
          <w:kern w:val="2"/>
          <w:sz w:val="28"/>
          <w:szCs w:val="28"/>
          <w:lang w:val="en-US" w:eastAsia="zh-CN" w:bidi="ar-SA"/>
        </w:rPr>
        <w:t>合格标准：按照合同约定的时间、规格和数量，完整交付云服务器、存储、带宽等云资源；提供详细的资源清单及配置说明，确保资源可正常接入官网系统并稳定运行，无资源短缺或配置错误问题。
</w:t>
      </w:r>
    </w:p>
    <w:p w14:paraId="5CFCF522">
      <w:pPr>
        <w:pStyle w:val="68"/>
        <w:numPr>
          <w:ilvl w:val="1"/>
          <w:numId w:val="0"/>
        </w:numPr>
        <w:ind w:left="720" w:leftChars="0" w:hanging="288" w:firstLineChars="0"/>
        <w:rPr>
          <w:rFonts w:hint="eastAsia" w:ascii="仿宋" w:hAnsi="仿宋" w:eastAsia="仿宋" w:cs="仿宋"/>
          <w:b w:val="0"/>
          <w:bCs/>
          <w:kern w:val="2"/>
          <w:sz w:val="28"/>
          <w:szCs w:val="28"/>
          <w:lang w:val="en-US" w:eastAsia="zh-CN" w:bidi="ar-SA"/>
        </w:rPr>
      </w:pPr>
      <w:r>
        <w:rPr>
          <w:rFonts w:hint="eastAsia" w:ascii="仿宋" w:hAnsi="仿宋" w:eastAsia="仿宋" w:cs="仿宋"/>
          <w:b w:val="0"/>
          <w:bCs/>
          <w:color w:val="auto"/>
          <w:kern w:val="2"/>
          <w:sz w:val="22"/>
          <w:szCs w:val="22"/>
          <w:lang w:val="en-US" w:eastAsia="zh-CN" w:bidi="ar-SA"/>
        </w:rPr>
        <w:t>②</w:t>
      </w:r>
      <w:r>
        <w:rPr>
          <w:rFonts w:hint="eastAsia" w:ascii="仿宋" w:hAnsi="仿宋" w:eastAsia="仿宋" w:cs="仿宋"/>
          <w:b w:val="0"/>
          <w:bCs/>
          <w:kern w:val="2"/>
          <w:sz w:val="28"/>
          <w:szCs w:val="28"/>
          <w:lang w:val="en-US" w:eastAsia="zh-CN" w:bidi="ar-SA"/>
        </w:rPr>
        <w:t>不合格标准：未按合同约定时间交付资源；交付的资源规格、数量与合同不符；资源存在严重配置错误，导致无法正常接入官网系统或频繁出现故障。
</w:t>
      </w:r>
    </w:p>
    <w:p w14:paraId="7825E0E0">
      <w:pPr>
        <w:pStyle w:val="68"/>
        <w:numPr>
          <w:ilvl w:val="0"/>
          <w:numId w:val="0"/>
        </w:numPr>
        <w:ind w:left="288" w:leftChars="0" w:hanging="288" w:firstLineChars="0"/>
        <w:rPr>
          <w:rFonts w:hint="eastAsia" w:ascii="仿宋" w:hAnsi="仿宋" w:eastAsia="仿宋" w:cs="仿宋"/>
          <w:b w:val="0"/>
          <w:bCs/>
          <w:kern w:val="2"/>
          <w:sz w:val="28"/>
          <w:szCs w:val="28"/>
          <w:lang w:val="en-US" w:eastAsia="zh-CN" w:bidi="ar-SA"/>
        </w:rPr>
      </w:pPr>
      <w:r>
        <w:rPr>
          <w:rFonts w:hint="eastAsia" w:ascii="仿宋" w:hAnsi="仿宋" w:eastAsia="仿宋" w:cs="仿宋"/>
          <w:b w:val="0"/>
          <w:bCs/>
          <w:color w:val="auto"/>
          <w:kern w:val="2"/>
          <w:sz w:val="22"/>
          <w:szCs w:val="22"/>
          <w:lang w:val="en-US" w:eastAsia="zh-CN" w:bidi="ar-SA"/>
        </w:rPr>
        <w:t>（2）</w:t>
      </w:r>
      <w:r>
        <w:rPr>
          <w:rFonts w:hint="eastAsia" w:ascii="仿宋" w:hAnsi="仿宋" w:eastAsia="仿宋" w:cs="仿宋"/>
          <w:b w:val="0"/>
          <w:bCs/>
          <w:kern w:val="2"/>
          <w:sz w:val="28"/>
          <w:szCs w:val="28"/>
          <w:lang w:val="en-US" w:eastAsia="zh-CN" w:bidi="ar-SA"/>
        </w:rPr>
        <w:t>资源性能</w:t>
      </w:r>
    </w:p>
    <w:p w14:paraId="105500FD">
      <w:pPr>
        <w:pStyle w:val="68"/>
        <w:numPr>
          <w:ilvl w:val="1"/>
          <w:numId w:val="0"/>
        </w:numPr>
        <w:ind w:left="720" w:leftChars="0" w:hanging="288" w:firstLineChars="0"/>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2"/>
          <w:szCs w:val="22"/>
          <w:lang w:val="en-US" w:eastAsia="zh-CN" w:bidi="ar-SA"/>
        </w:rPr>
        <w:t>①</w:t>
      </w:r>
      <w:r>
        <w:rPr>
          <w:rFonts w:hint="eastAsia" w:ascii="仿宋" w:hAnsi="仿宋" w:eastAsia="仿宋" w:cs="仿宋"/>
          <w:b w:val="0"/>
          <w:bCs/>
          <w:color w:val="auto"/>
          <w:kern w:val="2"/>
          <w:sz w:val="28"/>
          <w:szCs w:val="28"/>
          <w:lang w:val="en-US" w:eastAsia="zh-CN" w:bidi="ar-SA"/>
        </w:rPr>
        <w:t>合格标准：云资源的 CPU 使用率、内存使用率、磁盘 I/O、网络带宽等性能指标在合同约定范围内；在官网业务高峰时段，资源性能仍能满足业务正常运行需求，无明显卡顿、延迟或服务中断现象。
</w:t>
      </w:r>
    </w:p>
    <w:p w14:paraId="7A1B0CF8">
      <w:pPr>
        <w:pStyle w:val="68"/>
        <w:numPr>
          <w:ilvl w:val="1"/>
          <w:numId w:val="0"/>
        </w:numPr>
        <w:ind w:left="720" w:leftChars="0" w:hanging="288" w:firstLineChars="0"/>
        <w:rPr>
          <w:rFonts w:hint="eastAsia" w:ascii="仿宋" w:hAnsi="仿宋" w:eastAsia="仿宋" w:cs="仿宋"/>
          <w:b w:val="0"/>
          <w:bCs/>
          <w:kern w:val="2"/>
          <w:sz w:val="28"/>
          <w:szCs w:val="28"/>
          <w:lang w:val="en-US" w:eastAsia="zh-CN" w:bidi="ar-SA"/>
        </w:rPr>
      </w:pPr>
      <w:r>
        <w:rPr>
          <w:rFonts w:hint="eastAsia" w:ascii="仿宋" w:hAnsi="仿宋" w:eastAsia="仿宋" w:cs="仿宋"/>
          <w:b w:val="0"/>
          <w:bCs/>
          <w:color w:val="auto"/>
          <w:kern w:val="2"/>
          <w:sz w:val="22"/>
          <w:szCs w:val="22"/>
          <w:lang w:val="en-US" w:eastAsia="zh-CN" w:bidi="ar-SA"/>
        </w:rPr>
        <w:t>②</w:t>
      </w:r>
      <w:r>
        <w:rPr>
          <w:rFonts w:hint="eastAsia" w:ascii="仿宋" w:hAnsi="仿宋" w:eastAsia="仿宋" w:cs="仿宋"/>
          <w:b w:val="0"/>
          <w:bCs/>
          <w:kern w:val="2"/>
          <w:sz w:val="28"/>
          <w:szCs w:val="28"/>
          <w:lang w:val="en-US" w:eastAsia="zh-CN" w:bidi="ar-SA"/>
        </w:rPr>
        <w:t>不合格标准：资源性能指标长期超出合同约定阈值；业务高峰时段，因资源性能不足导致官网服务出现严重卡顿、延迟或服务中断，影响业务正常开展。
</w:t>
      </w:r>
    </w:p>
    <w:p w14:paraId="61FFA1E2">
      <w:pPr>
        <w:pStyle w:val="68"/>
        <w:numPr>
          <w:ilvl w:val="0"/>
          <w:numId w:val="0"/>
        </w:numPr>
        <w:ind w:left="288" w:leftChars="0" w:hanging="288" w:firstLineChars="0"/>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2"/>
          <w:szCs w:val="22"/>
          <w:lang w:val="en-US" w:eastAsia="zh-CN" w:bidi="ar-SA"/>
        </w:rPr>
        <w:t>（3）</w:t>
      </w:r>
      <w:r>
        <w:rPr>
          <w:rFonts w:hint="eastAsia" w:ascii="仿宋" w:hAnsi="仿宋" w:eastAsia="仿宋" w:cs="仿宋"/>
          <w:b w:val="0"/>
          <w:bCs/>
          <w:color w:val="auto"/>
          <w:kern w:val="2"/>
          <w:sz w:val="28"/>
          <w:szCs w:val="28"/>
          <w:lang w:val="en-US" w:eastAsia="zh-CN" w:bidi="ar-SA"/>
        </w:rPr>
        <w:t>服务支持</w:t>
      </w:r>
    </w:p>
    <w:p w14:paraId="087A7D98">
      <w:pPr>
        <w:pStyle w:val="68"/>
        <w:numPr>
          <w:ilvl w:val="1"/>
          <w:numId w:val="0"/>
        </w:numPr>
        <w:ind w:left="720" w:leftChars="0" w:hanging="288" w:firstLineChars="0"/>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2"/>
          <w:szCs w:val="22"/>
          <w:lang w:val="en-US" w:eastAsia="zh-CN" w:bidi="ar-SA"/>
        </w:rPr>
        <w:t>①</w:t>
      </w:r>
      <w:r>
        <w:rPr>
          <w:rFonts w:hint="eastAsia" w:ascii="仿宋" w:hAnsi="仿宋" w:eastAsia="仿宋" w:cs="仿宋"/>
          <w:b w:val="0"/>
          <w:bCs/>
          <w:color w:val="auto"/>
          <w:kern w:val="2"/>
          <w:sz w:val="28"/>
          <w:szCs w:val="28"/>
          <w:lang w:val="en-US" w:eastAsia="zh-CN" w:bidi="ar-SA"/>
        </w:rPr>
        <w:t>合格标准：供应商提供 7×24小时技术支持服务，响应及时，在合同约定的时间内解决云资源运行过程中出现的问题；定期（按合同约定周期）提供云资源运行状态报告，报告内容详实、准确。
</w:t>
      </w:r>
    </w:p>
    <w:p w14:paraId="44DA191B">
      <w:pPr>
        <w:pStyle w:val="68"/>
        <w:numPr>
          <w:ilvl w:val="1"/>
          <w:numId w:val="0"/>
        </w:numPr>
        <w:ind w:left="720" w:leftChars="0" w:hanging="288" w:firstLineChars="0"/>
        <w:rPr>
          <w:rFonts w:hint="eastAsia" w:ascii="仿宋" w:hAnsi="仿宋" w:eastAsia="仿宋" w:cs="仿宋"/>
          <w:b w:val="0"/>
          <w:bCs/>
          <w:kern w:val="2"/>
          <w:sz w:val="28"/>
          <w:szCs w:val="28"/>
          <w:lang w:val="en-US" w:eastAsia="zh-CN" w:bidi="ar-SA"/>
        </w:rPr>
      </w:pPr>
      <w:r>
        <w:rPr>
          <w:rFonts w:hint="eastAsia" w:ascii="仿宋" w:hAnsi="仿宋" w:eastAsia="仿宋" w:cs="仿宋"/>
          <w:b w:val="0"/>
          <w:bCs/>
          <w:color w:val="auto"/>
          <w:kern w:val="2"/>
          <w:sz w:val="22"/>
          <w:szCs w:val="22"/>
          <w:lang w:val="en-US" w:eastAsia="zh-CN" w:bidi="ar-SA"/>
        </w:rPr>
        <w:t>②</w:t>
      </w:r>
      <w:r>
        <w:rPr>
          <w:rFonts w:hint="eastAsia" w:ascii="仿宋" w:hAnsi="仿宋" w:eastAsia="仿宋" w:cs="仿宋"/>
          <w:b w:val="0"/>
          <w:bCs/>
          <w:kern w:val="2"/>
          <w:sz w:val="28"/>
          <w:szCs w:val="28"/>
          <w:lang w:val="en-US" w:eastAsia="zh-CN" w:bidi="ar-SA"/>
        </w:rPr>
        <w:t>不合格标准：未提供 7×24小时技术支持服务，或在问题响应、解决时间上超出合同约定；未按合同约定周期提供运行状态报告，或报告内容不完整、不准确，无法真实反映云资源运行情况。
</w:t>
      </w:r>
    </w:p>
    <w:p w14:paraId="1790BBD6">
      <w:pPr>
        <w:pStyle w:val="68"/>
        <w:numPr>
          <w:ilvl w:val="0"/>
          <w:numId w:val="4"/>
        </w:numPr>
        <w:ind w:left="720" w:leftChars="0" w:hanging="288" w:firstLineChars="0"/>
        <w:rPr>
          <w:rFonts w:hint="eastAsia" w:ascii="仿宋" w:hAnsi="仿宋" w:eastAsia="仿宋" w:cs="仿宋"/>
          <w:b w:val="0"/>
          <w:bCs/>
          <w:kern w:val="2"/>
          <w:sz w:val="28"/>
          <w:szCs w:val="28"/>
          <w:lang w:val="en-US" w:eastAsia="zh-CN" w:bidi="ar-SA"/>
        </w:rPr>
      </w:pPr>
      <w:r>
        <w:rPr>
          <w:rFonts w:hint="eastAsia" w:ascii="仿宋" w:hAnsi="仿宋" w:eastAsia="仿宋" w:cs="仿宋"/>
          <w:b w:val="0"/>
          <w:bCs/>
          <w:kern w:val="2"/>
          <w:sz w:val="28"/>
          <w:szCs w:val="28"/>
          <w:lang w:val="en-US" w:eastAsia="zh-CN" w:bidi="ar-SA"/>
        </w:rPr>
        <w:t>官网安全</w:t>
      </w:r>
    </w:p>
    <w:p w14:paraId="4CCE6713">
      <w:pPr>
        <w:pStyle w:val="68"/>
        <w:numPr>
          <w:ilvl w:val="1"/>
          <w:numId w:val="0"/>
        </w:numPr>
        <w:ind w:left="720" w:leftChars="0" w:hanging="288" w:firstLineChars="0"/>
        <w:rPr>
          <w:rFonts w:hint="eastAsia" w:ascii="仿宋" w:hAnsi="仿宋" w:eastAsia="仿宋" w:cs="仿宋"/>
          <w:b w:val="0"/>
          <w:bCs/>
          <w:color w:val="auto"/>
          <w:kern w:val="2"/>
          <w:sz w:val="28"/>
          <w:szCs w:val="28"/>
          <w:highlight w:val="none"/>
          <w:lang w:val="en-US" w:eastAsia="zh-CN" w:bidi="ar-SA"/>
        </w:rPr>
      </w:pPr>
      <w:r>
        <w:rPr>
          <w:rFonts w:hint="eastAsia" w:ascii="仿宋" w:hAnsi="仿宋" w:eastAsia="仿宋" w:cs="仿宋"/>
          <w:b w:val="0"/>
          <w:bCs/>
          <w:color w:val="auto"/>
          <w:kern w:val="2"/>
          <w:sz w:val="22"/>
          <w:szCs w:val="22"/>
          <w:highlight w:val="none"/>
          <w:lang w:val="en-US" w:eastAsia="zh-CN" w:bidi="ar-SA"/>
        </w:rPr>
        <w:t>①</w:t>
      </w:r>
      <w:r>
        <w:rPr>
          <w:rFonts w:hint="eastAsia" w:ascii="仿宋" w:hAnsi="仿宋" w:eastAsia="仿宋" w:cs="仿宋"/>
          <w:b w:val="0"/>
          <w:bCs/>
          <w:color w:val="auto"/>
          <w:kern w:val="2"/>
          <w:sz w:val="28"/>
          <w:szCs w:val="28"/>
          <w:highlight w:val="none"/>
          <w:lang w:val="en-US" w:eastAsia="zh-CN" w:bidi="ar-SA"/>
        </w:rPr>
        <w:t>合格标准：服务期内未出现重大安全事故，发生数据泄露等；因云资源本身或安全策略导致医院官网发生数据丢失、恶意攻击等。
</w:t>
      </w:r>
    </w:p>
    <w:p w14:paraId="5528B754">
      <w:pPr>
        <w:pStyle w:val="68"/>
        <w:numPr>
          <w:ilvl w:val="1"/>
          <w:numId w:val="0"/>
        </w:numPr>
        <w:ind w:left="720" w:leftChars="0" w:hanging="288" w:firstLineChars="0"/>
        <w:rPr>
          <w:rFonts w:hint="default" w:ascii="仿宋" w:hAnsi="仿宋" w:eastAsia="仿宋" w:cs="仿宋"/>
          <w:b w:val="0"/>
          <w:bCs/>
          <w:kern w:val="2"/>
          <w:sz w:val="28"/>
          <w:szCs w:val="28"/>
          <w:highlight w:val="none"/>
          <w:lang w:val="en-US" w:eastAsia="zh-CN" w:bidi="ar-SA"/>
        </w:rPr>
      </w:pPr>
      <w:r>
        <w:rPr>
          <w:rFonts w:hint="eastAsia" w:ascii="仿宋" w:hAnsi="仿宋" w:eastAsia="仿宋" w:cs="仿宋"/>
          <w:b w:val="0"/>
          <w:bCs/>
          <w:color w:val="auto"/>
          <w:kern w:val="2"/>
          <w:sz w:val="22"/>
          <w:szCs w:val="22"/>
          <w:highlight w:val="none"/>
          <w:lang w:val="en-US" w:eastAsia="zh-CN" w:bidi="ar-SA"/>
        </w:rPr>
        <w:t>②</w:t>
      </w:r>
      <w:r>
        <w:rPr>
          <w:rFonts w:hint="eastAsia" w:ascii="仿宋" w:hAnsi="仿宋" w:eastAsia="仿宋" w:cs="仿宋"/>
          <w:b w:val="0"/>
          <w:bCs/>
          <w:kern w:val="2"/>
          <w:sz w:val="28"/>
          <w:szCs w:val="28"/>
          <w:highlight w:val="none"/>
          <w:lang w:val="en-US" w:eastAsia="zh-CN" w:bidi="ar-SA"/>
        </w:rPr>
        <w:t>不合格标准：出现</w:t>
      </w:r>
      <w:r>
        <w:rPr>
          <w:rFonts w:hint="eastAsia" w:ascii="仿宋" w:hAnsi="仿宋" w:eastAsia="仿宋" w:cs="仿宋"/>
          <w:b w:val="0"/>
          <w:bCs/>
          <w:color w:val="auto"/>
          <w:kern w:val="2"/>
          <w:sz w:val="28"/>
          <w:szCs w:val="28"/>
          <w:highlight w:val="none"/>
          <w:lang w:val="en-US" w:eastAsia="zh-CN" w:bidi="ar-SA"/>
        </w:rPr>
        <w:t>重大安全事故，发生数据泄露、官网被篡改等</w:t>
      </w:r>
      <w:r>
        <w:rPr>
          <w:rFonts w:hint="eastAsia" w:ascii="仿宋" w:hAnsi="仿宋" w:eastAsia="仿宋" w:cs="仿宋"/>
          <w:b w:val="0"/>
          <w:bCs/>
          <w:kern w:val="2"/>
          <w:sz w:val="28"/>
          <w:szCs w:val="28"/>
          <w:highlight w:val="none"/>
          <w:lang w:val="en-US" w:eastAsia="zh-CN" w:bidi="ar-SA"/>
        </w:rPr>
        <w:t>。
</w:t>
      </w:r>
    </w:p>
    <w:p w14:paraId="2A206174">
      <w:pPr>
        <w:pStyle w:val="7"/>
        <w:rPr>
          <w:rFonts w:hint="eastAsia" w:ascii="仿宋" w:hAnsi="仿宋" w:eastAsia="仿宋" w:cs="仿宋"/>
          <w:b w:val="0"/>
          <w:bCs/>
          <w:kern w:val="2"/>
          <w:sz w:val="28"/>
          <w:szCs w:val="28"/>
          <w:lang w:val="en-US" w:eastAsia="zh-CN" w:bidi="ar-SA"/>
        </w:rPr>
      </w:pPr>
      <w:r>
        <w:rPr>
          <w:rFonts w:hint="eastAsia" w:ascii="仿宋" w:hAnsi="仿宋" w:eastAsia="仿宋" w:cs="仿宋"/>
          <w:b w:val="0"/>
          <w:bCs/>
          <w:kern w:val="2"/>
          <w:sz w:val="28"/>
          <w:szCs w:val="28"/>
          <w:lang w:val="en-US" w:eastAsia="zh-CN" w:bidi="ar-SA"/>
        </w:rPr>
        <w:t>（二）二级等保服务考核
</w:t>
      </w:r>
    </w:p>
    <w:p w14:paraId="36DC1563">
      <w:pPr>
        <w:pStyle w:val="68"/>
        <w:numPr>
          <w:ilvl w:val="0"/>
          <w:numId w:val="0"/>
        </w:numPr>
        <w:ind w:left="288" w:leftChars="0" w:hanging="288" w:firstLineChars="0"/>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2"/>
          <w:szCs w:val="22"/>
          <w:lang w:val="en-US" w:eastAsia="zh-CN" w:bidi="ar-SA"/>
        </w:rPr>
        <w:t>（1）</w:t>
      </w:r>
      <w:r>
        <w:rPr>
          <w:rFonts w:hint="eastAsia" w:ascii="仿宋" w:hAnsi="仿宋" w:eastAsia="仿宋" w:cs="仿宋"/>
          <w:b w:val="0"/>
          <w:bCs/>
          <w:color w:val="auto"/>
          <w:kern w:val="2"/>
          <w:sz w:val="28"/>
          <w:szCs w:val="28"/>
          <w:lang w:val="en-US" w:eastAsia="zh-CN" w:bidi="ar-SA"/>
        </w:rPr>
        <w:t>等保测评协助</w:t>
      </w:r>
    </w:p>
    <w:p w14:paraId="1F76AB0A">
      <w:pPr>
        <w:pStyle w:val="68"/>
        <w:numPr>
          <w:ilvl w:val="1"/>
          <w:numId w:val="0"/>
        </w:numPr>
        <w:ind w:left="720" w:leftChars="0" w:hanging="288" w:firstLineChars="0"/>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2"/>
          <w:szCs w:val="22"/>
          <w:lang w:val="en-US" w:eastAsia="zh-CN" w:bidi="ar-SA"/>
        </w:rPr>
        <w:t>①</w:t>
      </w:r>
      <w:r>
        <w:rPr>
          <w:rFonts w:hint="eastAsia" w:ascii="仿宋" w:hAnsi="仿宋" w:eastAsia="仿宋" w:cs="仿宋"/>
          <w:b w:val="0"/>
          <w:bCs/>
          <w:color w:val="auto"/>
          <w:kern w:val="2"/>
          <w:sz w:val="28"/>
          <w:szCs w:val="28"/>
          <w:lang w:val="en-US" w:eastAsia="zh-CN" w:bidi="ar-SA"/>
        </w:rPr>
        <w:t>合格标准：完成本项目中两个系统的二级等保测评工作，包括提供测评所需的资料、协调相关人员配合测评；确保测评过程顺利，测评结果符合二级等保要求，取得合格的等保测评报告。
</w:t>
      </w:r>
    </w:p>
    <w:p w14:paraId="29E9CFBC">
      <w:pPr>
        <w:pStyle w:val="68"/>
        <w:numPr>
          <w:ilvl w:val="1"/>
          <w:numId w:val="0"/>
        </w:numPr>
        <w:ind w:left="720" w:leftChars="0" w:hanging="288" w:firstLineChars="0"/>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2"/>
          <w:szCs w:val="22"/>
          <w:lang w:val="en-US" w:eastAsia="zh-CN" w:bidi="ar-SA"/>
        </w:rPr>
        <w:t>②</w:t>
      </w:r>
      <w:r>
        <w:rPr>
          <w:rFonts w:hint="eastAsia" w:ascii="仿宋" w:hAnsi="仿宋" w:eastAsia="仿宋" w:cs="仿宋"/>
          <w:b w:val="0"/>
          <w:bCs/>
          <w:color w:val="auto"/>
          <w:kern w:val="2"/>
          <w:sz w:val="28"/>
          <w:szCs w:val="28"/>
          <w:lang w:val="en-US" w:eastAsia="zh-CN" w:bidi="ar-SA"/>
        </w:rPr>
        <w:t>不合格标准：未积极协助完成测评工作，导致测评资料缺失、人员协调不到位；测评结果未达到二级等保要求，未取得合格的等保测评报告。
</w:t>
      </w:r>
    </w:p>
    <w:p w14:paraId="1DB4066F">
      <w:pPr>
        <w:pStyle w:val="68"/>
        <w:numPr>
          <w:ilvl w:val="0"/>
          <w:numId w:val="0"/>
        </w:numPr>
        <w:ind w:left="288" w:leftChars="0" w:hanging="288" w:firstLineChars="0"/>
        <w:rPr>
          <w:rFonts w:hint="eastAsia" w:ascii="仿宋" w:hAnsi="仿宋" w:eastAsia="仿宋" w:cs="仿宋"/>
          <w:b w:val="0"/>
          <w:bCs/>
          <w:kern w:val="2"/>
          <w:sz w:val="28"/>
          <w:szCs w:val="28"/>
          <w:lang w:val="en-US" w:eastAsia="zh-CN" w:bidi="ar-SA"/>
        </w:rPr>
      </w:pPr>
      <w:r>
        <w:rPr>
          <w:rFonts w:hint="eastAsia" w:ascii="仿宋" w:hAnsi="仿宋" w:eastAsia="仿宋" w:cs="仿宋"/>
          <w:b w:val="0"/>
          <w:bCs/>
          <w:color w:val="auto"/>
          <w:kern w:val="2"/>
          <w:sz w:val="22"/>
          <w:szCs w:val="22"/>
          <w:lang w:val="en-US" w:eastAsia="zh-CN" w:bidi="ar-SA"/>
        </w:rPr>
        <w:t>（2）</w:t>
      </w:r>
      <w:r>
        <w:rPr>
          <w:rFonts w:hint="eastAsia" w:ascii="仿宋" w:hAnsi="仿宋" w:eastAsia="仿宋" w:cs="仿宋"/>
          <w:b w:val="0"/>
          <w:bCs/>
          <w:kern w:val="2"/>
          <w:sz w:val="28"/>
          <w:szCs w:val="28"/>
          <w:lang w:val="en-US" w:eastAsia="zh-CN" w:bidi="ar-SA"/>
        </w:rPr>
        <w:t>安全整改</w:t>
      </w:r>
    </w:p>
    <w:p w14:paraId="2717BAEF">
      <w:pPr>
        <w:pStyle w:val="68"/>
        <w:numPr>
          <w:ilvl w:val="1"/>
          <w:numId w:val="0"/>
        </w:numPr>
        <w:ind w:left="720" w:leftChars="0" w:hanging="288" w:firstLineChars="0"/>
        <w:rPr>
          <w:rFonts w:hint="eastAsia" w:ascii="仿宋" w:hAnsi="仿宋" w:eastAsia="仿宋" w:cs="仿宋"/>
          <w:b w:val="0"/>
          <w:bCs/>
          <w:kern w:val="2"/>
          <w:sz w:val="28"/>
          <w:szCs w:val="28"/>
          <w:lang w:val="en-US" w:eastAsia="zh-CN" w:bidi="ar-SA"/>
        </w:rPr>
      </w:pPr>
      <w:r>
        <w:rPr>
          <w:rFonts w:hint="eastAsia" w:ascii="仿宋" w:hAnsi="仿宋" w:eastAsia="仿宋" w:cs="仿宋"/>
          <w:b w:val="0"/>
          <w:bCs/>
          <w:color w:val="auto"/>
          <w:kern w:val="2"/>
          <w:sz w:val="22"/>
          <w:szCs w:val="22"/>
          <w:lang w:val="en-US" w:eastAsia="zh-CN" w:bidi="ar-SA"/>
        </w:rPr>
        <w:t>①</w:t>
      </w:r>
      <w:r>
        <w:rPr>
          <w:rFonts w:hint="eastAsia" w:ascii="仿宋" w:hAnsi="仿宋" w:eastAsia="仿宋" w:cs="仿宋"/>
          <w:b w:val="0"/>
          <w:bCs/>
          <w:kern w:val="2"/>
          <w:sz w:val="28"/>
          <w:szCs w:val="28"/>
          <w:lang w:val="en-US" w:eastAsia="zh-CN" w:bidi="ar-SA"/>
        </w:rPr>
        <w:t>合格标准：根据等保测评结果，及时制定合理的安全整改方案，并按方案完成官网系统安全漏洞修复、安全策略优化等整改工作；整改后官网系统再次测评达到二级等保要求，且无新增重大安全隐患。
</w:t>
      </w:r>
    </w:p>
    <w:p w14:paraId="37162B59">
      <w:pPr>
        <w:pStyle w:val="68"/>
        <w:numPr>
          <w:ilvl w:val="1"/>
          <w:numId w:val="0"/>
        </w:numPr>
        <w:ind w:left="720" w:leftChars="0" w:hanging="288" w:firstLineChars="0"/>
        <w:rPr>
          <w:rFonts w:hint="eastAsia" w:ascii="仿宋" w:hAnsi="仿宋" w:eastAsia="仿宋" w:cs="仿宋"/>
          <w:b w:val="0"/>
          <w:bCs/>
          <w:kern w:val="2"/>
          <w:sz w:val="28"/>
          <w:szCs w:val="28"/>
          <w:lang w:val="en-US" w:eastAsia="zh-CN" w:bidi="ar-SA"/>
        </w:rPr>
      </w:pPr>
      <w:r>
        <w:rPr>
          <w:rFonts w:hint="eastAsia" w:ascii="仿宋" w:hAnsi="仿宋" w:eastAsia="仿宋" w:cs="仿宋"/>
          <w:b w:val="0"/>
          <w:bCs/>
          <w:color w:val="auto"/>
          <w:kern w:val="2"/>
          <w:sz w:val="22"/>
          <w:szCs w:val="22"/>
          <w:lang w:val="en-US" w:eastAsia="zh-CN" w:bidi="ar-SA"/>
        </w:rPr>
        <w:t>②</w:t>
      </w:r>
      <w:r>
        <w:rPr>
          <w:rFonts w:hint="eastAsia" w:ascii="仿宋" w:hAnsi="仿宋" w:eastAsia="仿宋" w:cs="仿宋"/>
          <w:b w:val="0"/>
          <w:bCs/>
          <w:kern w:val="2"/>
          <w:sz w:val="28"/>
          <w:szCs w:val="28"/>
          <w:lang w:val="en-US" w:eastAsia="zh-CN" w:bidi="ar-SA"/>
        </w:rPr>
        <w:t>不合格标准：未制定安全整改方案或整改方案不合理；未按方案完成整改工作，或整改后系统仍存在严重安全漏洞，无法通过二级等保测评。
</w:t>
      </w:r>
    </w:p>
    <w:p w14:paraId="18E6544C">
      <w:pPr>
        <w:pStyle w:val="68"/>
        <w:numPr>
          <w:ilvl w:val="0"/>
          <w:numId w:val="0"/>
        </w:numPr>
        <w:ind w:left="288" w:leftChars="0" w:hanging="288" w:firstLineChars="0"/>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2"/>
          <w:szCs w:val="22"/>
          <w:lang w:val="en-US" w:eastAsia="zh-CN" w:bidi="ar-SA"/>
        </w:rPr>
        <w:t>（3）</w:t>
      </w:r>
      <w:r>
        <w:rPr>
          <w:rFonts w:hint="eastAsia" w:ascii="仿宋" w:hAnsi="仿宋" w:eastAsia="仿宋" w:cs="仿宋"/>
          <w:b w:val="0"/>
          <w:bCs/>
          <w:color w:val="auto"/>
          <w:kern w:val="2"/>
          <w:sz w:val="28"/>
          <w:szCs w:val="28"/>
          <w:lang w:val="en-US" w:eastAsia="zh-CN" w:bidi="ar-SA"/>
        </w:rPr>
        <w:t>安全运维服务</w:t>
      </w:r>
    </w:p>
    <w:p w14:paraId="4EB65022">
      <w:pPr>
        <w:pStyle w:val="68"/>
        <w:numPr>
          <w:ilvl w:val="1"/>
          <w:numId w:val="0"/>
        </w:numPr>
        <w:ind w:left="720" w:leftChars="0" w:hanging="288" w:firstLineChars="0"/>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2"/>
          <w:szCs w:val="22"/>
          <w:lang w:val="en-US" w:eastAsia="zh-CN" w:bidi="ar-SA"/>
        </w:rPr>
        <w:t>①</w:t>
      </w:r>
      <w:r>
        <w:rPr>
          <w:rFonts w:hint="eastAsia" w:ascii="仿宋" w:hAnsi="仿宋" w:eastAsia="仿宋" w:cs="仿宋"/>
          <w:b w:val="0"/>
          <w:bCs/>
          <w:color w:val="auto"/>
          <w:kern w:val="2"/>
          <w:sz w:val="28"/>
          <w:szCs w:val="28"/>
          <w:lang w:val="en-US" w:eastAsia="zh-CN" w:bidi="ar-SA"/>
        </w:rPr>
        <w:t>合格标准：提供日常安全运维服务，包括安全日志分析、安全设备巡检、安全事件监测与处理等；建立完善的安全应急响应机制，在发生安全事件时，按合同约定时间内响应并妥善处理，将损失降至最低</w:t>
      </w:r>
    </w:p>
    <w:p w14:paraId="27C120FC">
      <w:pPr>
        <w:pStyle w:val="68"/>
        <w:numPr>
          <w:ilvl w:val="1"/>
          <w:numId w:val="0"/>
        </w:numPr>
        <w:ind w:left="720" w:leftChars="0" w:hanging="288" w:firstLineChars="0"/>
        <w:rPr>
          <w:rFonts w:hint="eastAsia" w:ascii="仿宋" w:hAnsi="仿宋" w:eastAsia="仿宋" w:cs="仿宋"/>
          <w:b w:val="0"/>
          <w:bCs/>
          <w:kern w:val="2"/>
          <w:sz w:val="28"/>
          <w:szCs w:val="28"/>
          <w:lang w:val="en-US" w:eastAsia="zh-CN" w:bidi="ar-SA"/>
        </w:rPr>
      </w:pPr>
      <w:r>
        <w:rPr>
          <w:rFonts w:hint="eastAsia" w:ascii="仿宋" w:hAnsi="仿宋" w:eastAsia="仿宋" w:cs="仿宋"/>
          <w:b w:val="0"/>
          <w:bCs/>
          <w:color w:val="auto"/>
          <w:kern w:val="2"/>
          <w:sz w:val="22"/>
          <w:szCs w:val="22"/>
          <w:lang w:val="en-US" w:eastAsia="zh-CN" w:bidi="ar-SA"/>
        </w:rPr>
        <w:t>②</w:t>
      </w:r>
      <w:r>
        <w:rPr>
          <w:rFonts w:hint="eastAsia" w:ascii="仿宋" w:hAnsi="仿宋" w:eastAsia="仿宋" w:cs="仿宋"/>
          <w:b w:val="0"/>
          <w:bCs/>
          <w:kern w:val="2"/>
          <w:sz w:val="28"/>
          <w:szCs w:val="28"/>
          <w:lang w:val="en-US" w:eastAsia="zh-CN" w:bidi="ar-SA"/>
        </w:rPr>
        <w:t>不合格标准：未按合同约定提供日常安全运维服务，安全日志分析、设备巡检等工作缺失或不完整；发生安全事件时，未及时响应或处理不当，导致官网系统遭受严重损失或影响。
</w:t>
      </w:r>
    </w:p>
    <w:p w14:paraId="5CE3816A">
      <w:pPr>
        <w:pStyle w:val="6"/>
        <w:rPr>
          <w:rFonts w:hint="eastAsia" w:ascii="仿宋" w:hAnsi="仿宋" w:eastAsia="仿宋" w:cs="仿宋"/>
          <w:b w:val="0"/>
          <w:bCs/>
          <w:kern w:val="2"/>
          <w:sz w:val="28"/>
          <w:szCs w:val="28"/>
          <w:lang w:val="en-US" w:eastAsia="zh-CN" w:bidi="ar-SA"/>
        </w:rPr>
      </w:pPr>
      <w:r>
        <w:rPr>
          <w:rFonts w:hint="eastAsia" w:ascii="仿宋" w:hAnsi="仿宋" w:eastAsia="仿宋" w:cs="仿宋"/>
          <w:b w:val="0"/>
          <w:bCs/>
          <w:kern w:val="2"/>
          <w:sz w:val="28"/>
          <w:szCs w:val="28"/>
          <w:lang w:val="en-US" w:eastAsia="zh-CN" w:bidi="ar-SA"/>
        </w:rPr>
        <w:t>（4）考核结果处理
</w:t>
      </w:r>
    </w:p>
    <w:p w14:paraId="33C77837">
      <w:pPr>
        <w:pStyle w:val="68"/>
        <w:numPr>
          <w:ilvl w:val="0"/>
          <w:numId w:val="0"/>
        </w:numPr>
        <w:ind w:left="424" w:leftChars="202" w:firstLine="136" w:firstLineChars="62"/>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2"/>
          <w:szCs w:val="22"/>
          <w:lang w:val="en-US" w:eastAsia="zh-CN" w:bidi="ar-SA"/>
        </w:rPr>
        <w:t>①</w:t>
      </w:r>
      <w:r>
        <w:rPr>
          <w:rFonts w:hint="eastAsia" w:ascii="仿宋" w:hAnsi="仿宋" w:eastAsia="仿宋" w:cs="仿宋"/>
          <w:b w:val="0"/>
          <w:bCs/>
          <w:color w:val="auto"/>
          <w:kern w:val="2"/>
          <w:sz w:val="28"/>
          <w:szCs w:val="28"/>
          <w:lang w:val="en-US" w:eastAsia="zh-CN" w:bidi="ar-SA"/>
        </w:rPr>
        <w:t>合格处理：若供应商考核结果为合格，采购方按照合同约定的付款方式和时间，及时向供应商支付服务费用。
</w:t>
      </w:r>
    </w:p>
    <w:p w14:paraId="08780499">
      <w:pPr>
        <w:pStyle w:val="68"/>
        <w:numPr>
          <w:ilvl w:val="0"/>
          <w:numId w:val="0"/>
        </w:numPr>
        <w:ind w:left="424" w:leftChars="202" w:firstLine="136" w:firstLineChars="62"/>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2"/>
          <w:szCs w:val="22"/>
          <w:lang w:val="en-US" w:eastAsia="zh-CN" w:bidi="ar-SA"/>
        </w:rPr>
        <w:t>②</w:t>
      </w:r>
      <w:r>
        <w:rPr>
          <w:rFonts w:hint="eastAsia" w:ascii="仿宋" w:hAnsi="仿宋" w:eastAsia="仿宋" w:cs="仿宋"/>
          <w:b w:val="0"/>
          <w:bCs/>
          <w:kern w:val="2"/>
          <w:sz w:val="28"/>
          <w:szCs w:val="28"/>
          <w:lang w:val="en-US" w:eastAsia="zh-CN" w:bidi="ar-SA"/>
        </w:rPr>
        <w:t>不合格处理：若供应商考核结果为不合格，采购方不予支付费用，并以书面形式告知供应商不合格原因及整改要求；供应商需在规定时间内完成整改，并重新向采购方提交验收申请，采购方再次组织考核，直至考核合格后，再按照合同约定支付费用。若供应商逾期未完成整改或多次整改仍不合格，采购方有权终止合同，并追究供应商的违约责任。
</w:t>
      </w:r>
    </w:p>
    <w:sectPr>
      <w:headerReference r:id="rId3" w:type="default"/>
      <w:footerReference r:id="rId4" w:type="default"/>
      <w:pgSz w:w="11850" w:h="16783"/>
      <w:pgMar w:top="1134" w:right="1361" w:bottom="1134"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61B21">
    <w:pPr>
      <w:pStyle w:val="19"/>
      <w:framePr w:wrap="around" w:vAnchor="text" w:hAnchor="margin" w:xAlign="center" w:y="1"/>
      <w:rPr>
        <w:rStyle w:val="30"/>
      </w:rPr>
    </w:pPr>
    <w:r>
      <w:rPr>
        <w:rStyle w:val="30"/>
      </w:rPr>
      <w:fldChar w:fldCharType="begin"/>
    </w:r>
    <w:r>
      <w:rPr>
        <w:rStyle w:val="30"/>
      </w:rPr>
      <w:instrText xml:space="preserve">PAGE  </w:instrText>
    </w:r>
    <w:r>
      <w:rPr>
        <w:rStyle w:val="30"/>
      </w:rPr>
      <w:fldChar w:fldCharType="separate"/>
    </w:r>
    <w:r>
      <w:rPr>
        <w:rStyle w:val="30"/>
      </w:rPr>
      <w:t>28</w:t>
    </w:r>
    <w:r>
      <w:rPr>
        <w:rStyle w:val="30"/>
      </w:rPr>
      <w:fldChar w:fldCharType="end"/>
    </w:r>
  </w:p>
  <w:p w14:paraId="7A293504">
    <w:pPr>
      <w:pStyle w:val="1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CA44D">
    <w:pPr>
      <w:pStyle w:val="2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A6CA44"/>
    <w:multiLevelType w:val="singleLevel"/>
    <w:tmpl w:val="86A6CA44"/>
    <w:lvl w:ilvl="0" w:tentative="0">
      <w:start w:val="1"/>
      <w:numFmt w:val="decimal"/>
      <w:pStyle w:val="8"/>
      <w:lvlText w:val="%1."/>
      <w:lvlJc w:val="left"/>
      <w:pPr>
        <w:tabs>
          <w:tab w:val="left" w:pos="780"/>
        </w:tabs>
        <w:ind w:left="780" w:hanging="360"/>
      </w:pPr>
    </w:lvl>
  </w:abstractNum>
  <w:abstractNum w:abstractNumId="1">
    <w:nsid w:val="0000000A"/>
    <w:multiLevelType w:val="multilevel"/>
    <w:tmpl w:val="0000000A"/>
    <w:lvl w:ilvl="0" w:tentative="0">
      <w:start w:val="1"/>
      <w:numFmt w:val="decimal"/>
      <w:lvlText w:val="%1"/>
      <w:lvlJc w:val="left"/>
      <w:pPr>
        <w:ind w:left="432" w:hanging="432"/>
      </w:pPr>
      <w:rPr>
        <w:rFonts w:cs="Times New Roman"/>
      </w:rPr>
    </w:lvl>
    <w:lvl w:ilvl="1" w:tentative="0">
      <w:start w:val="1"/>
      <w:numFmt w:val="decimal"/>
      <w:pStyle w:val="60"/>
      <w:lvlText w:val="%1.%2"/>
      <w:lvlJc w:val="left"/>
      <w:pPr>
        <w:ind w:left="576" w:hanging="576"/>
      </w:pPr>
      <w:rPr>
        <w:rFonts w:cs="Times New Roman"/>
      </w:rPr>
    </w:lvl>
    <w:lvl w:ilvl="2" w:tentative="0">
      <w:start w:val="1"/>
      <w:numFmt w:val="decimal"/>
      <w:lvlText w:val="%1.%2.%3"/>
      <w:lvlJc w:val="left"/>
      <w:pPr>
        <w:ind w:left="720" w:hanging="720"/>
      </w:pPr>
      <w:rPr>
        <w:rFonts w:cs="Times New Roman"/>
      </w:rPr>
    </w:lvl>
    <w:lvl w:ilvl="3" w:tentative="0">
      <w:start w:val="1"/>
      <w:numFmt w:val="decimal"/>
      <w:lvlText w:val="%1.%2.%3.%4"/>
      <w:lvlJc w:val="left"/>
      <w:pPr>
        <w:ind w:left="864" w:hanging="864"/>
      </w:pPr>
      <w:rPr>
        <w:rFonts w:cs="Times New Roman"/>
      </w:rPr>
    </w:lvl>
    <w:lvl w:ilvl="4" w:tentative="0">
      <w:start w:val="1"/>
      <w:numFmt w:val="decimal"/>
      <w:lvlText w:val="%1.%2.%3.%4.%5"/>
      <w:lvlJc w:val="left"/>
      <w:pPr>
        <w:ind w:left="1008" w:hanging="1008"/>
      </w:pPr>
      <w:rPr>
        <w:rFonts w:cs="Times New Roman"/>
      </w:rPr>
    </w:lvl>
    <w:lvl w:ilvl="5" w:tentative="0">
      <w:start w:val="1"/>
      <w:numFmt w:val="decimal"/>
      <w:lvlText w:val="%1.%2.%3.%4.%5.%6"/>
      <w:lvlJc w:val="left"/>
      <w:pPr>
        <w:ind w:left="1152" w:hanging="1152"/>
      </w:pPr>
      <w:rPr>
        <w:rFonts w:cs="Times New Roman"/>
      </w:rPr>
    </w:lvl>
    <w:lvl w:ilvl="6" w:tentative="0">
      <w:start w:val="1"/>
      <w:numFmt w:val="decimal"/>
      <w:lvlText w:val="%1.%2.%3.%4.%5.%6.%7"/>
      <w:lvlJc w:val="left"/>
      <w:pPr>
        <w:ind w:left="1296" w:hanging="1296"/>
      </w:pPr>
      <w:rPr>
        <w:rFonts w:cs="Times New Roman"/>
      </w:rPr>
    </w:lvl>
    <w:lvl w:ilvl="7" w:tentative="0">
      <w:start w:val="1"/>
      <w:numFmt w:val="decimal"/>
      <w:lvlText w:val="%1.%2.%3.%4.%5.%6.%7.%8"/>
      <w:lvlJc w:val="left"/>
      <w:pPr>
        <w:ind w:left="1440" w:hanging="1440"/>
      </w:pPr>
      <w:rPr>
        <w:rFonts w:cs="Times New Roman"/>
      </w:rPr>
    </w:lvl>
    <w:lvl w:ilvl="8" w:tentative="0">
      <w:start w:val="1"/>
      <w:numFmt w:val="decimal"/>
      <w:lvlText w:val="%1.%2.%3.%4.%5.%6.%7.%8.%9"/>
      <w:lvlJc w:val="left"/>
      <w:pPr>
        <w:ind w:left="1584" w:hanging="1584"/>
      </w:pPr>
      <w:rPr>
        <w:rFonts w:cs="Times New Roman"/>
      </w:rPr>
    </w:lvl>
  </w:abstractNum>
  <w:abstractNum w:abstractNumId="2">
    <w:nsid w:val="37106A8E"/>
    <w:multiLevelType w:val="singleLevel"/>
    <w:tmpl w:val="37106A8E"/>
    <w:lvl w:ilvl="0" w:tentative="0">
      <w:start w:val="4"/>
      <w:numFmt w:val="decimal"/>
      <w:suff w:val="nothing"/>
      <w:lvlText w:val="（%1）"/>
      <w:lvlJc w:val="left"/>
    </w:lvl>
  </w:abstractNum>
  <w:abstractNum w:abstractNumId="3">
    <w:nsid w:val="60DB9418"/>
    <w:multiLevelType w:val="singleLevel"/>
    <w:tmpl w:val="60DB9418"/>
    <w:lvl w:ilvl="0" w:tentative="0">
      <w:start w:val="1"/>
      <w:numFmt w:val="decimal"/>
      <w:pStyle w:val="14"/>
      <w:lvlText w:val="%1."/>
      <w:lvlJc w:val="left"/>
      <w:pPr>
        <w:tabs>
          <w:tab w:val="left" w:pos="1200"/>
        </w:tabs>
        <w:ind w:left="1200" w:hanging="36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YyNzVkMjI3M2NmNTAwYzZiNGNhZDZkYTU0M2M5NzgifQ=="/>
  </w:docVars>
  <w:rsids>
    <w:rsidRoot w:val="00373FD9"/>
    <w:rsid w:val="000245E7"/>
    <w:rsid w:val="00087001"/>
    <w:rsid w:val="002A1038"/>
    <w:rsid w:val="002D68D9"/>
    <w:rsid w:val="002E438C"/>
    <w:rsid w:val="002F7402"/>
    <w:rsid w:val="003478AE"/>
    <w:rsid w:val="00363660"/>
    <w:rsid w:val="00373FD9"/>
    <w:rsid w:val="003C4E81"/>
    <w:rsid w:val="00433F74"/>
    <w:rsid w:val="00457CD7"/>
    <w:rsid w:val="00487A23"/>
    <w:rsid w:val="00491A3A"/>
    <w:rsid w:val="00551FBD"/>
    <w:rsid w:val="005B06BB"/>
    <w:rsid w:val="006E025E"/>
    <w:rsid w:val="00862EE4"/>
    <w:rsid w:val="008A79E3"/>
    <w:rsid w:val="008F1D3B"/>
    <w:rsid w:val="00983F09"/>
    <w:rsid w:val="009E1C30"/>
    <w:rsid w:val="00A16589"/>
    <w:rsid w:val="00A93648"/>
    <w:rsid w:val="00B96C83"/>
    <w:rsid w:val="00C249CE"/>
    <w:rsid w:val="00C267AD"/>
    <w:rsid w:val="00C77277"/>
    <w:rsid w:val="00D15C1B"/>
    <w:rsid w:val="00D23242"/>
    <w:rsid w:val="00E15485"/>
    <w:rsid w:val="00E84814"/>
    <w:rsid w:val="00EA2AC2"/>
    <w:rsid w:val="00EB3753"/>
    <w:rsid w:val="00ED5986"/>
    <w:rsid w:val="00FB5772"/>
    <w:rsid w:val="0151143A"/>
    <w:rsid w:val="018A607C"/>
    <w:rsid w:val="01C04E49"/>
    <w:rsid w:val="01C470BB"/>
    <w:rsid w:val="02086D7A"/>
    <w:rsid w:val="02186A33"/>
    <w:rsid w:val="021E01DC"/>
    <w:rsid w:val="022D115B"/>
    <w:rsid w:val="022F7234"/>
    <w:rsid w:val="02817DC1"/>
    <w:rsid w:val="02945710"/>
    <w:rsid w:val="0297556B"/>
    <w:rsid w:val="029E0CDB"/>
    <w:rsid w:val="02A84E41"/>
    <w:rsid w:val="02AB2B9E"/>
    <w:rsid w:val="02C85749"/>
    <w:rsid w:val="02DC317E"/>
    <w:rsid w:val="02DF57A3"/>
    <w:rsid w:val="02E16D1E"/>
    <w:rsid w:val="02F1334E"/>
    <w:rsid w:val="031B5345"/>
    <w:rsid w:val="0323243B"/>
    <w:rsid w:val="034C6A6E"/>
    <w:rsid w:val="03A42F63"/>
    <w:rsid w:val="03BC64E6"/>
    <w:rsid w:val="03C41DFB"/>
    <w:rsid w:val="03F82FC0"/>
    <w:rsid w:val="04080835"/>
    <w:rsid w:val="040C25C7"/>
    <w:rsid w:val="0451447E"/>
    <w:rsid w:val="047F723D"/>
    <w:rsid w:val="04CF5D49"/>
    <w:rsid w:val="04D05CEB"/>
    <w:rsid w:val="04D37589"/>
    <w:rsid w:val="04E84DE3"/>
    <w:rsid w:val="04F22E08"/>
    <w:rsid w:val="04F913F4"/>
    <w:rsid w:val="05066088"/>
    <w:rsid w:val="050B565D"/>
    <w:rsid w:val="053F077B"/>
    <w:rsid w:val="05541A2B"/>
    <w:rsid w:val="056F2E0E"/>
    <w:rsid w:val="05AC4062"/>
    <w:rsid w:val="05AE571E"/>
    <w:rsid w:val="05EC63E4"/>
    <w:rsid w:val="05F9301F"/>
    <w:rsid w:val="060608E9"/>
    <w:rsid w:val="061B4D44"/>
    <w:rsid w:val="06226F35"/>
    <w:rsid w:val="0664493D"/>
    <w:rsid w:val="06774F3E"/>
    <w:rsid w:val="068F02D0"/>
    <w:rsid w:val="06B901AE"/>
    <w:rsid w:val="06BC6527"/>
    <w:rsid w:val="06CB49BC"/>
    <w:rsid w:val="06E773B4"/>
    <w:rsid w:val="06F46D37"/>
    <w:rsid w:val="070A373D"/>
    <w:rsid w:val="07300CC3"/>
    <w:rsid w:val="07453917"/>
    <w:rsid w:val="07497404"/>
    <w:rsid w:val="075357B0"/>
    <w:rsid w:val="07626812"/>
    <w:rsid w:val="076E04D4"/>
    <w:rsid w:val="0770740B"/>
    <w:rsid w:val="07754928"/>
    <w:rsid w:val="078828AD"/>
    <w:rsid w:val="07AC562B"/>
    <w:rsid w:val="07AF61D1"/>
    <w:rsid w:val="07B25A89"/>
    <w:rsid w:val="07B30001"/>
    <w:rsid w:val="07FD6DF7"/>
    <w:rsid w:val="08236132"/>
    <w:rsid w:val="0825634E"/>
    <w:rsid w:val="08272C43"/>
    <w:rsid w:val="082779D0"/>
    <w:rsid w:val="085120BF"/>
    <w:rsid w:val="087A439F"/>
    <w:rsid w:val="087F5A5E"/>
    <w:rsid w:val="08850B9A"/>
    <w:rsid w:val="089C01A8"/>
    <w:rsid w:val="08A9685C"/>
    <w:rsid w:val="08B15955"/>
    <w:rsid w:val="08D613F6"/>
    <w:rsid w:val="09120C5E"/>
    <w:rsid w:val="091361A6"/>
    <w:rsid w:val="091A5787"/>
    <w:rsid w:val="094E453F"/>
    <w:rsid w:val="09523D22"/>
    <w:rsid w:val="09B07E99"/>
    <w:rsid w:val="0A1B17B6"/>
    <w:rsid w:val="0A4A0959"/>
    <w:rsid w:val="0A4A32C7"/>
    <w:rsid w:val="0A5E15BA"/>
    <w:rsid w:val="0A642EDB"/>
    <w:rsid w:val="0AA43797"/>
    <w:rsid w:val="0AA52200"/>
    <w:rsid w:val="0B220922"/>
    <w:rsid w:val="0B2428ED"/>
    <w:rsid w:val="0B2B77E3"/>
    <w:rsid w:val="0B3B21C1"/>
    <w:rsid w:val="0B440AF0"/>
    <w:rsid w:val="0B696551"/>
    <w:rsid w:val="0B786794"/>
    <w:rsid w:val="0B791FE0"/>
    <w:rsid w:val="0B831494"/>
    <w:rsid w:val="0B9137AB"/>
    <w:rsid w:val="0BA544A1"/>
    <w:rsid w:val="0BC639A4"/>
    <w:rsid w:val="0BCE4606"/>
    <w:rsid w:val="0BDD4050"/>
    <w:rsid w:val="0C985340"/>
    <w:rsid w:val="0CA07A65"/>
    <w:rsid w:val="0CC2164E"/>
    <w:rsid w:val="0CE64192"/>
    <w:rsid w:val="0D31309F"/>
    <w:rsid w:val="0D352B8F"/>
    <w:rsid w:val="0D4E3C51"/>
    <w:rsid w:val="0D5B6B19"/>
    <w:rsid w:val="0D611BD6"/>
    <w:rsid w:val="0D8F0F15"/>
    <w:rsid w:val="0D9226E9"/>
    <w:rsid w:val="0DB53CD0"/>
    <w:rsid w:val="0DBB6FFD"/>
    <w:rsid w:val="0DC060A2"/>
    <w:rsid w:val="0DE32E8A"/>
    <w:rsid w:val="0DF26508"/>
    <w:rsid w:val="0E1432DE"/>
    <w:rsid w:val="0E200D90"/>
    <w:rsid w:val="0E2A5A22"/>
    <w:rsid w:val="0E3A09D3"/>
    <w:rsid w:val="0E3A5F83"/>
    <w:rsid w:val="0E401D8A"/>
    <w:rsid w:val="0EA16002"/>
    <w:rsid w:val="0EEC709F"/>
    <w:rsid w:val="0EFD6E35"/>
    <w:rsid w:val="0F270E64"/>
    <w:rsid w:val="0F5337A0"/>
    <w:rsid w:val="0F582B65"/>
    <w:rsid w:val="0F671BFB"/>
    <w:rsid w:val="0F7326FB"/>
    <w:rsid w:val="0F7B1B1F"/>
    <w:rsid w:val="0F7E61F1"/>
    <w:rsid w:val="0F9C159B"/>
    <w:rsid w:val="0FAC2EB1"/>
    <w:rsid w:val="0FD72C1A"/>
    <w:rsid w:val="0FF17498"/>
    <w:rsid w:val="0FF24D67"/>
    <w:rsid w:val="101030C9"/>
    <w:rsid w:val="10264A11"/>
    <w:rsid w:val="10266361"/>
    <w:rsid w:val="103B70ED"/>
    <w:rsid w:val="10881BD1"/>
    <w:rsid w:val="10B421B4"/>
    <w:rsid w:val="11014C81"/>
    <w:rsid w:val="112F78F5"/>
    <w:rsid w:val="11AE2F10"/>
    <w:rsid w:val="11C07D61"/>
    <w:rsid w:val="11DC4BFA"/>
    <w:rsid w:val="12177FB9"/>
    <w:rsid w:val="124A70DD"/>
    <w:rsid w:val="12614426"/>
    <w:rsid w:val="127B7785"/>
    <w:rsid w:val="131B45D5"/>
    <w:rsid w:val="13243364"/>
    <w:rsid w:val="13740079"/>
    <w:rsid w:val="13AB3BAB"/>
    <w:rsid w:val="13C06F2A"/>
    <w:rsid w:val="13C565E5"/>
    <w:rsid w:val="13DD1701"/>
    <w:rsid w:val="13DE0765"/>
    <w:rsid w:val="142640DA"/>
    <w:rsid w:val="149F4D92"/>
    <w:rsid w:val="14B561ED"/>
    <w:rsid w:val="14CB347C"/>
    <w:rsid w:val="14DA6F01"/>
    <w:rsid w:val="14DD49E3"/>
    <w:rsid w:val="14F94B51"/>
    <w:rsid w:val="15597637"/>
    <w:rsid w:val="156B4093"/>
    <w:rsid w:val="157924A9"/>
    <w:rsid w:val="15883615"/>
    <w:rsid w:val="15B81A5E"/>
    <w:rsid w:val="15D26C06"/>
    <w:rsid w:val="15E857DD"/>
    <w:rsid w:val="162952A9"/>
    <w:rsid w:val="16307EBF"/>
    <w:rsid w:val="16524903"/>
    <w:rsid w:val="16A95C97"/>
    <w:rsid w:val="16CA259A"/>
    <w:rsid w:val="16DE0BDF"/>
    <w:rsid w:val="16E86EC4"/>
    <w:rsid w:val="1713174A"/>
    <w:rsid w:val="175119C5"/>
    <w:rsid w:val="17681DB3"/>
    <w:rsid w:val="176C238F"/>
    <w:rsid w:val="176D4B8A"/>
    <w:rsid w:val="17933838"/>
    <w:rsid w:val="17A178F5"/>
    <w:rsid w:val="17A70B2D"/>
    <w:rsid w:val="17AA01E7"/>
    <w:rsid w:val="17BC581C"/>
    <w:rsid w:val="17C074F9"/>
    <w:rsid w:val="17C22F6D"/>
    <w:rsid w:val="17D64BFA"/>
    <w:rsid w:val="18046055"/>
    <w:rsid w:val="180C1A9D"/>
    <w:rsid w:val="181171B2"/>
    <w:rsid w:val="18177785"/>
    <w:rsid w:val="183D4403"/>
    <w:rsid w:val="185A73FB"/>
    <w:rsid w:val="18AD2252"/>
    <w:rsid w:val="18C21918"/>
    <w:rsid w:val="18DC72E8"/>
    <w:rsid w:val="19153875"/>
    <w:rsid w:val="19162713"/>
    <w:rsid w:val="19524AC9"/>
    <w:rsid w:val="19600F94"/>
    <w:rsid w:val="196779D5"/>
    <w:rsid w:val="19791B6A"/>
    <w:rsid w:val="198777D8"/>
    <w:rsid w:val="19921369"/>
    <w:rsid w:val="19C239FC"/>
    <w:rsid w:val="19E82D37"/>
    <w:rsid w:val="1A1D1D34"/>
    <w:rsid w:val="1A654DF4"/>
    <w:rsid w:val="1A6702DA"/>
    <w:rsid w:val="1A6F2559"/>
    <w:rsid w:val="1A797843"/>
    <w:rsid w:val="1A826987"/>
    <w:rsid w:val="1A8F50AC"/>
    <w:rsid w:val="1AAB0143"/>
    <w:rsid w:val="1AB63F87"/>
    <w:rsid w:val="1ABE6773"/>
    <w:rsid w:val="1AC922AB"/>
    <w:rsid w:val="1AD75285"/>
    <w:rsid w:val="1B040045"/>
    <w:rsid w:val="1B0C6BAF"/>
    <w:rsid w:val="1B9D60A4"/>
    <w:rsid w:val="1BE534E9"/>
    <w:rsid w:val="1C2940ED"/>
    <w:rsid w:val="1C5A451B"/>
    <w:rsid w:val="1C6F5B0D"/>
    <w:rsid w:val="1C7F5BD5"/>
    <w:rsid w:val="1C956C26"/>
    <w:rsid w:val="1CA4563B"/>
    <w:rsid w:val="1CB41AED"/>
    <w:rsid w:val="1CBA4E5F"/>
    <w:rsid w:val="1CCE26B8"/>
    <w:rsid w:val="1D1216AE"/>
    <w:rsid w:val="1D126A49"/>
    <w:rsid w:val="1D303373"/>
    <w:rsid w:val="1D4A4435"/>
    <w:rsid w:val="1D5E1C8E"/>
    <w:rsid w:val="1D72498F"/>
    <w:rsid w:val="1D81772B"/>
    <w:rsid w:val="1D94745E"/>
    <w:rsid w:val="1DA41B3D"/>
    <w:rsid w:val="1DAA6C81"/>
    <w:rsid w:val="1DB26C50"/>
    <w:rsid w:val="1DEB5A3D"/>
    <w:rsid w:val="1DFF189D"/>
    <w:rsid w:val="1E0F2F88"/>
    <w:rsid w:val="1E2A6014"/>
    <w:rsid w:val="1E7828DC"/>
    <w:rsid w:val="1EB23B88"/>
    <w:rsid w:val="1EDA5344"/>
    <w:rsid w:val="1F1A220B"/>
    <w:rsid w:val="1F2D2134"/>
    <w:rsid w:val="1F314CE2"/>
    <w:rsid w:val="1F362706"/>
    <w:rsid w:val="1F3A2287"/>
    <w:rsid w:val="1F553B57"/>
    <w:rsid w:val="1F667C26"/>
    <w:rsid w:val="1F9D4E1E"/>
    <w:rsid w:val="1F9E4029"/>
    <w:rsid w:val="1FA2707F"/>
    <w:rsid w:val="1FA3021E"/>
    <w:rsid w:val="1FA30825"/>
    <w:rsid w:val="1FE64A36"/>
    <w:rsid w:val="201F1FB6"/>
    <w:rsid w:val="2053283C"/>
    <w:rsid w:val="20A03498"/>
    <w:rsid w:val="20A31510"/>
    <w:rsid w:val="20BD3A98"/>
    <w:rsid w:val="20C7497B"/>
    <w:rsid w:val="20DF4539"/>
    <w:rsid w:val="214A5C0F"/>
    <w:rsid w:val="214C62A1"/>
    <w:rsid w:val="217B051C"/>
    <w:rsid w:val="21905B3D"/>
    <w:rsid w:val="21B96D2A"/>
    <w:rsid w:val="21DE15EF"/>
    <w:rsid w:val="21F42554"/>
    <w:rsid w:val="22370D00"/>
    <w:rsid w:val="22394AB5"/>
    <w:rsid w:val="223B434C"/>
    <w:rsid w:val="225851DA"/>
    <w:rsid w:val="22622A71"/>
    <w:rsid w:val="22883309"/>
    <w:rsid w:val="22C322CF"/>
    <w:rsid w:val="22CF5331"/>
    <w:rsid w:val="22FF305A"/>
    <w:rsid w:val="230519B2"/>
    <w:rsid w:val="23672C9B"/>
    <w:rsid w:val="237B0902"/>
    <w:rsid w:val="23A24F3A"/>
    <w:rsid w:val="23D26C9F"/>
    <w:rsid w:val="23E612AF"/>
    <w:rsid w:val="23EB1DA2"/>
    <w:rsid w:val="24215577"/>
    <w:rsid w:val="242E4B4C"/>
    <w:rsid w:val="243A7E73"/>
    <w:rsid w:val="245C7F9B"/>
    <w:rsid w:val="246E0481"/>
    <w:rsid w:val="2472601F"/>
    <w:rsid w:val="24B93C4E"/>
    <w:rsid w:val="24C70119"/>
    <w:rsid w:val="24CF521F"/>
    <w:rsid w:val="24E95915"/>
    <w:rsid w:val="2500634F"/>
    <w:rsid w:val="25331C52"/>
    <w:rsid w:val="25690127"/>
    <w:rsid w:val="25850D9A"/>
    <w:rsid w:val="258D53F2"/>
    <w:rsid w:val="25CE54D7"/>
    <w:rsid w:val="25DC5E46"/>
    <w:rsid w:val="25E07964"/>
    <w:rsid w:val="25F3318F"/>
    <w:rsid w:val="25F74A2E"/>
    <w:rsid w:val="261536C1"/>
    <w:rsid w:val="261C26E6"/>
    <w:rsid w:val="26262930"/>
    <w:rsid w:val="264659B5"/>
    <w:rsid w:val="26485289"/>
    <w:rsid w:val="269B185D"/>
    <w:rsid w:val="274A2541"/>
    <w:rsid w:val="27540351"/>
    <w:rsid w:val="277F4D27"/>
    <w:rsid w:val="27912C60"/>
    <w:rsid w:val="27B70919"/>
    <w:rsid w:val="28045C0F"/>
    <w:rsid w:val="281C3CC5"/>
    <w:rsid w:val="28203A44"/>
    <w:rsid w:val="28416434"/>
    <w:rsid w:val="28487ACA"/>
    <w:rsid w:val="286C694A"/>
    <w:rsid w:val="288307FB"/>
    <w:rsid w:val="288602EB"/>
    <w:rsid w:val="28862099"/>
    <w:rsid w:val="28B43E90"/>
    <w:rsid w:val="28C876FF"/>
    <w:rsid w:val="28D435BB"/>
    <w:rsid w:val="292C1BC0"/>
    <w:rsid w:val="294C6E3F"/>
    <w:rsid w:val="29684C62"/>
    <w:rsid w:val="29AE4672"/>
    <w:rsid w:val="29BF095B"/>
    <w:rsid w:val="29E2280C"/>
    <w:rsid w:val="2A385C74"/>
    <w:rsid w:val="2A4E1F42"/>
    <w:rsid w:val="2A53244F"/>
    <w:rsid w:val="2A7E1654"/>
    <w:rsid w:val="2ACA0E89"/>
    <w:rsid w:val="2AD83989"/>
    <w:rsid w:val="2AE03A5D"/>
    <w:rsid w:val="2AE76E35"/>
    <w:rsid w:val="2B001A3E"/>
    <w:rsid w:val="2B0A6FB1"/>
    <w:rsid w:val="2B253DEB"/>
    <w:rsid w:val="2B5C6CCB"/>
    <w:rsid w:val="2BB8344C"/>
    <w:rsid w:val="2BBF3D2A"/>
    <w:rsid w:val="2BC51B38"/>
    <w:rsid w:val="2BF5161D"/>
    <w:rsid w:val="2C0F0959"/>
    <w:rsid w:val="2C1300E8"/>
    <w:rsid w:val="2C22675B"/>
    <w:rsid w:val="2C363AAA"/>
    <w:rsid w:val="2C44423C"/>
    <w:rsid w:val="2C740039"/>
    <w:rsid w:val="2C9E7F33"/>
    <w:rsid w:val="2CA62D0A"/>
    <w:rsid w:val="2CBD58E5"/>
    <w:rsid w:val="2CD63695"/>
    <w:rsid w:val="2D051391"/>
    <w:rsid w:val="2D077487"/>
    <w:rsid w:val="2D086D8D"/>
    <w:rsid w:val="2D113C66"/>
    <w:rsid w:val="2D1C121E"/>
    <w:rsid w:val="2D5B1D46"/>
    <w:rsid w:val="2D6C2353"/>
    <w:rsid w:val="2D865769"/>
    <w:rsid w:val="2DAA4A7C"/>
    <w:rsid w:val="2DC07DFB"/>
    <w:rsid w:val="2DCB75D4"/>
    <w:rsid w:val="2DCE2518"/>
    <w:rsid w:val="2DDE0C5B"/>
    <w:rsid w:val="2E03640D"/>
    <w:rsid w:val="2E267445"/>
    <w:rsid w:val="2E5F13C2"/>
    <w:rsid w:val="2E7531C9"/>
    <w:rsid w:val="2E75351B"/>
    <w:rsid w:val="2E7A61FC"/>
    <w:rsid w:val="2E975000"/>
    <w:rsid w:val="2EBF4557"/>
    <w:rsid w:val="2F120B2A"/>
    <w:rsid w:val="2F2E222E"/>
    <w:rsid w:val="2F3C7955"/>
    <w:rsid w:val="2F4E7838"/>
    <w:rsid w:val="2F5E5B1E"/>
    <w:rsid w:val="2FBB2F70"/>
    <w:rsid w:val="2FFD0E93"/>
    <w:rsid w:val="300761B5"/>
    <w:rsid w:val="30144FAC"/>
    <w:rsid w:val="301B57BD"/>
    <w:rsid w:val="30295550"/>
    <w:rsid w:val="302E0A42"/>
    <w:rsid w:val="304630D0"/>
    <w:rsid w:val="305C13A6"/>
    <w:rsid w:val="30600BA0"/>
    <w:rsid w:val="30654B02"/>
    <w:rsid w:val="30826DFB"/>
    <w:rsid w:val="3095731D"/>
    <w:rsid w:val="30D611BD"/>
    <w:rsid w:val="30D73AA6"/>
    <w:rsid w:val="30F178B2"/>
    <w:rsid w:val="30FA731E"/>
    <w:rsid w:val="30FE21FE"/>
    <w:rsid w:val="312B7C81"/>
    <w:rsid w:val="313F4581"/>
    <w:rsid w:val="31B23EFF"/>
    <w:rsid w:val="31B91C5B"/>
    <w:rsid w:val="31BD1995"/>
    <w:rsid w:val="3254507C"/>
    <w:rsid w:val="32612FF5"/>
    <w:rsid w:val="328E48A7"/>
    <w:rsid w:val="32BB17D9"/>
    <w:rsid w:val="32C3115C"/>
    <w:rsid w:val="33034612"/>
    <w:rsid w:val="33095283"/>
    <w:rsid w:val="330B0139"/>
    <w:rsid w:val="332602A5"/>
    <w:rsid w:val="333472C1"/>
    <w:rsid w:val="334B63B9"/>
    <w:rsid w:val="33542FFD"/>
    <w:rsid w:val="3364747B"/>
    <w:rsid w:val="33923FE8"/>
    <w:rsid w:val="33A5605E"/>
    <w:rsid w:val="33AE06F6"/>
    <w:rsid w:val="33F04D26"/>
    <w:rsid w:val="33FA45CB"/>
    <w:rsid w:val="34475BAA"/>
    <w:rsid w:val="34550321"/>
    <w:rsid w:val="34AA492B"/>
    <w:rsid w:val="35131158"/>
    <w:rsid w:val="3518051D"/>
    <w:rsid w:val="35335E14"/>
    <w:rsid w:val="354C6C49"/>
    <w:rsid w:val="358636D8"/>
    <w:rsid w:val="35931DAC"/>
    <w:rsid w:val="35A65B28"/>
    <w:rsid w:val="35BA15D4"/>
    <w:rsid w:val="35D42696"/>
    <w:rsid w:val="35D86C5D"/>
    <w:rsid w:val="35F763BE"/>
    <w:rsid w:val="360C6FC2"/>
    <w:rsid w:val="361E20CC"/>
    <w:rsid w:val="36484E32"/>
    <w:rsid w:val="36527970"/>
    <w:rsid w:val="36666F38"/>
    <w:rsid w:val="36721EAF"/>
    <w:rsid w:val="36746EE3"/>
    <w:rsid w:val="368F2A60"/>
    <w:rsid w:val="36CC5192"/>
    <w:rsid w:val="370363A2"/>
    <w:rsid w:val="37227431"/>
    <w:rsid w:val="3736112E"/>
    <w:rsid w:val="37362EDC"/>
    <w:rsid w:val="37632137"/>
    <w:rsid w:val="378E2D18"/>
    <w:rsid w:val="384B29B7"/>
    <w:rsid w:val="38523D08"/>
    <w:rsid w:val="38551197"/>
    <w:rsid w:val="38817333"/>
    <w:rsid w:val="38B16FB9"/>
    <w:rsid w:val="38CA7D80"/>
    <w:rsid w:val="38F31085"/>
    <w:rsid w:val="391B682D"/>
    <w:rsid w:val="39237576"/>
    <w:rsid w:val="39245586"/>
    <w:rsid w:val="394E275F"/>
    <w:rsid w:val="39663FBF"/>
    <w:rsid w:val="396F235B"/>
    <w:rsid w:val="39BC1DBE"/>
    <w:rsid w:val="39E828BF"/>
    <w:rsid w:val="39EB13F6"/>
    <w:rsid w:val="3A01674D"/>
    <w:rsid w:val="3A1C3638"/>
    <w:rsid w:val="3A685AA2"/>
    <w:rsid w:val="3A6B3C0C"/>
    <w:rsid w:val="3A72247D"/>
    <w:rsid w:val="3A9643BE"/>
    <w:rsid w:val="3A9C574C"/>
    <w:rsid w:val="3AC058DE"/>
    <w:rsid w:val="3AC10958"/>
    <w:rsid w:val="3AF31810"/>
    <w:rsid w:val="3AF4232D"/>
    <w:rsid w:val="3B110622"/>
    <w:rsid w:val="3B2338A8"/>
    <w:rsid w:val="3B255741"/>
    <w:rsid w:val="3B822B94"/>
    <w:rsid w:val="3B9F72A2"/>
    <w:rsid w:val="3BA3301A"/>
    <w:rsid w:val="3BDC0F04"/>
    <w:rsid w:val="3C227980"/>
    <w:rsid w:val="3C76158A"/>
    <w:rsid w:val="3C8E3E57"/>
    <w:rsid w:val="3C916221"/>
    <w:rsid w:val="3CBB1EDA"/>
    <w:rsid w:val="3CC571DC"/>
    <w:rsid w:val="3CD967E3"/>
    <w:rsid w:val="3CE777DA"/>
    <w:rsid w:val="3D181D45"/>
    <w:rsid w:val="3D482D2B"/>
    <w:rsid w:val="3D600039"/>
    <w:rsid w:val="3D6407A3"/>
    <w:rsid w:val="3D885EF5"/>
    <w:rsid w:val="3D8928C8"/>
    <w:rsid w:val="3DA66418"/>
    <w:rsid w:val="3DBC05DF"/>
    <w:rsid w:val="3DBD7EB3"/>
    <w:rsid w:val="3DCB2F65"/>
    <w:rsid w:val="3DD011C1"/>
    <w:rsid w:val="3DD05E38"/>
    <w:rsid w:val="3E0C2BE9"/>
    <w:rsid w:val="3E452986"/>
    <w:rsid w:val="3E8F7AA2"/>
    <w:rsid w:val="3E9055C8"/>
    <w:rsid w:val="3E940763"/>
    <w:rsid w:val="3EA0714E"/>
    <w:rsid w:val="3EB72F4C"/>
    <w:rsid w:val="3ECB79D6"/>
    <w:rsid w:val="3EE663B5"/>
    <w:rsid w:val="3EF45B57"/>
    <w:rsid w:val="3F08414D"/>
    <w:rsid w:val="3F2F3033"/>
    <w:rsid w:val="3F550EAA"/>
    <w:rsid w:val="3F7E72AF"/>
    <w:rsid w:val="3F8A15D1"/>
    <w:rsid w:val="3F8F587F"/>
    <w:rsid w:val="3F900C13"/>
    <w:rsid w:val="3F9557C2"/>
    <w:rsid w:val="3F992FC3"/>
    <w:rsid w:val="3FB42DFD"/>
    <w:rsid w:val="3FB53394"/>
    <w:rsid w:val="3FB87916"/>
    <w:rsid w:val="3FCD1E8B"/>
    <w:rsid w:val="3FD37E62"/>
    <w:rsid w:val="3FE80A5C"/>
    <w:rsid w:val="40077B0C"/>
    <w:rsid w:val="40187E58"/>
    <w:rsid w:val="401A0D5B"/>
    <w:rsid w:val="401E3720"/>
    <w:rsid w:val="405A5E8D"/>
    <w:rsid w:val="405E44A4"/>
    <w:rsid w:val="406D567E"/>
    <w:rsid w:val="4093139F"/>
    <w:rsid w:val="40A22A67"/>
    <w:rsid w:val="40C0198D"/>
    <w:rsid w:val="40C81049"/>
    <w:rsid w:val="40D20119"/>
    <w:rsid w:val="40DC68A2"/>
    <w:rsid w:val="4101455B"/>
    <w:rsid w:val="412141A6"/>
    <w:rsid w:val="412E3556"/>
    <w:rsid w:val="415451E7"/>
    <w:rsid w:val="41C002C6"/>
    <w:rsid w:val="41CD3D6A"/>
    <w:rsid w:val="41F8595E"/>
    <w:rsid w:val="42021128"/>
    <w:rsid w:val="422F4A19"/>
    <w:rsid w:val="42380450"/>
    <w:rsid w:val="423D07B4"/>
    <w:rsid w:val="424A1617"/>
    <w:rsid w:val="42706E4A"/>
    <w:rsid w:val="42A969CC"/>
    <w:rsid w:val="42AD499A"/>
    <w:rsid w:val="42BF1F6D"/>
    <w:rsid w:val="42C54134"/>
    <w:rsid w:val="42C8634E"/>
    <w:rsid w:val="43065791"/>
    <w:rsid w:val="430F11B1"/>
    <w:rsid w:val="434A02FE"/>
    <w:rsid w:val="43651E2E"/>
    <w:rsid w:val="43691A70"/>
    <w:rsid w:val="437506F0"/>
    <w:rsid w:val="43AE1C43"/>
    <w:rsid w:val="43B94F4C"/>
    <w:rsid w:val="44336789"/>
    <w:rsid w:val="443543A9"/>
    <w:rsid w:val="44625CAF"/>
    <w:rsid w:val="44670B79"/>
    <w:rsid w:val="452E275D"/>
    <w:rsid w:val="456D6663"/>
    <w:rsid w:val="45935CF1"/>
    <w:rsid w:val="45CC14AF"/>
    <w:rsid w:val="45D51B2A"/>
    <w:rsid w:val="46026DAB"/>
    <w:rsid w:val="46040ACB"/>
    <w:rsid w:val="4632349B"/>
    <w:rsid w:val="46405B25"/>
    <w:rsid w:val="464516F6"/>
    <w:rsid w:val="46476EB4"/>
    <w:rsid w:val="466A63B6"/>
    <w:rsid w:val="46D71E50"/>
    <w:rsid w:val="46E33881"/>
    <w:rsid w:val="46EF0C73"/>
    <w:rsid w:val="46FF35A1"/>
    <w:rsid w:val="47013507"/>
    <w:rsid w:val="472114B3"/>
    <w:rsid w:val="474B2A2C"/>
    <w:rsid w:val="476D4F2E"/>
    <w:rsid w:val="47AD7F28"/>
    <w:rsid w:val="47EA420C"/>
    <w:rsid w:val="47F322E4"/>
    <w:rsid w:val="48257413"/>
    <w:rsid w:val="48284AC3"/>
    <w:rsid w:val="48944CF0"/>
    <w:rsid w:val="48F52BF7"/>
    <w:rsid w:val="48FD5F50"/>
    <w:rsid w:val="49022985"/>
    <w:rsid w:val="490D6193"/>
    <w:rsid w:val="491F48FD"/>
    <w:rsid w:val="49216830"/>
    <w:rsid w:val="49367C7F"/>
    <w:rsid w:val="49404E89"/>
    <w:rsid w:val="49506443"/>
    <w:rsid w:val="4974049E"/>
    <w:rsid w:val="498010F3"/>
    <w:rsid w:val="498F2D66"/>
    <w:rsid w:val="49B17304"/>
    <w:rsid w:val="49C37FF3"/>
    <w:rsid w:val="49E949A9"/>
    <w:rsid w:val="4A28369D"/>
    <w:rsid w:val="4A325CFE"/>
    <w:rsid w:val="4A881849"/>
    <w:rsid w:val="4A902EEB"/>
    <w:rsid w:val="4AA8337A"/>
    <w:rsid w:val="4ABA6BF0"/>
    <w:rsid w:val="4AC565F9"/>
    <w:rsid w:val="4AE50282"/>
    <w:rsid w:val="4AE601B8"/>
    <w:rsid w:val="4BF21CA4"/>
    <w:rsid w:val="4BFC429C"/>
    <w:rsid w:val="4C475CA7"/>
    <w:rsid w:val="4C4E3B3F"/>
    <w:rsid w:val="4C8367C1"/>
    <w:rsid w:val="4C8E75EA"/>
    <w:rsid w:val="4C9E1EB3"/>
    <w:rsid w:val="4CAA019C"/>
    <w:rsid w:val="4CC77258"/>
    <w:rsid w:val="4CCD4445"/>
    <w:rsid w:val="4CD5462D"/>
    <w:rsid w:val="4CD85570"/>
    <w:rsid w:val="4CFB26C0"/>
    <w:rsid w:val="4D0A29E9"/>
    <w:rsid w:val="4D3968BD"/>
    <w:rsid w:val="4D3D5753"/>
    <w:rsid w:val="4D52328D"/>
    <w:rsid w:val="4D633613"/>
    <w:rsid w:val="4D8448A4"/>
    <w:rsid w:val="4D920012"/>
    <w:rsid w:val="4DB15903"/>
    <w:rsid w:val="4E0D0110"/>
    <w:rsid w:val="4E1041C7"/>
    <w:rsid w:val="4E393586"/>
    <w:rsid w:val="4E5265D1"/>
    <w:rsid w:val="4E7250D2"/>
    <w:rsid w:val="4E8D705E"/>
    <w:rsid w:val="4E9B29A6"/>
    <w:rsid w:val="4EB605A1"/>
    <w:rsid w:val="4EBE1255"/>
    <w:rsid w:val="4EC512BE"/>
    <w:rsid w:val="4EC92B5C"/>
    <w:rsid w:val="4F0B2CE5"/>
    <w:rsid w:val="4F0C47F7"/>
    <w:rsid w:val="4F745791"/>
    <w:rsid w:val="4F840831"/>
    <w:rsid w:val="4F8C7D33"/>
    <w:rsid w:val="4F9A62A6"/>
    <w:rsid w:val="4FB667CD"/>
    <w:rsid w:val="4FCB46B2"/>
    <w:rsid w:val="4FDD43E5"/>
    <w:rsid w:val="4FEB7B51"/>
    <w:rsid w:val="4FF02CA1"/>
    <w:rsid w:val="500A2F1C"/>
    <w:rsid w:val="50153B7F"/>
    <w:rsid w:val="501B5FE8"/>
    <w:rsid w:val="501C4F0D"/>
    <w:rsid w:val="502C0BD5"/>
    <w:rsid w:val="503519D7"/>
    <w:rsid w:val="5098418B"/>
    <w:rsid w:val="515661FD"/>
    <w:rsid w:val="516232F9"/>
    <w:rsid w:val="51705511"/>
    <w:rsid w:val="517B2107"/>
    <w:rsid w:val="518E3BE9"/>
    <w:rsid w:val="51D71521"/>
    <w:rsid w:val="51F06651"/>
    <w:rsid w:val="52135808"/>
    <w:rsid w:val="522105B9"/>
    <w:rsid w:val="5237678D"/>
    <w:rsid w:val="525F5585"/>
    <w:rsid w:val="528462EE"/>
    <w:rsid w:val="52943481"/>
    <w:rsid w:val="52A77A34"/>
    <w:rsid w:val="52B92EE7"/>
    <w:rsid w:val="52BE4622"/>
    <w:rsid w:val="52C84A92"/>
    <w:rsid w:val="52E23EC3"/>
    <w:rsid w:val="53315D9A"/>
    <w:rsid w:val="533A37BA"/>
    <w:rsid w:val="534A4DE4"/>
    <w:rsid w:val="536F6285"/>
    <w:rsid w:val="53862B2D"/>
    <w:rsid w:val="53AF2527"/>
    <w:rsid w:val="53C25DCC"/>
    <w:rsid w:val="53F8359B"/>
    <w:rsid w:val="5411465D"/>
    <w:rsid w:val="54134879"/>
    <w:rsid w:val="54446A80"/>
    <w:rsid w:val="54517C4A"/>
    <w:rsid w:val="546B6463"/>
    <w:rsid w:val="547038EF"/>
    <w:rsid w:val="54750718"/>
    <w:rsid w:val="54A23569"/>
    <w:rsid w:val="54A7441E"/>
    <w:rsid w:val="54BA5FB4"/>
    <w:rsid w:val="55447C45"/>
    <w:rsid w:val="55587762"/>
    <w:rsid w:val="555F5D4F"/>
    <w:rsid w:val="556A03E3"/>
    <w:rsid w:val="558416C6"/>
    <w:rsid w:val="559D599C"/>
    <w:rsid w:val="55A23570"/>
    <w:rsid w:val="55BD684B"/>
    <w:rsid w:val="55CF47D0"/>
    <w:rsid w:val="55EF34DF"/>
    <w:rsid w:val="560426CB"/>
    <w:rsid w:val="563D0CC9"/>
    <w:rsid w:val="565F7902"/>
    <w:rsid w:val="566D64C3"/>
    <w:rsid w:val="568D0913"/>
    <w:rsid w:val="56955A19"/>
    <w:rsid w:val="56A70FD8"/>
    <w:rsid w:val="56AE5C97"/>
    <w:rsid w:val="56C02A96"/>
    <w:rsid w:val="56C56B92"/>
    <w:rsid w:val="56EA18C1"/>
    <w:rsid w:val="571B5F1F"/>
    <w:rsid w:val="57296212"/>
    <w:rsid w:val="57336927"/>
    <w:rsid w:val="574D3BFE"/>
    <w:rsid w:val="57680A38"/>
    <w:rsid w:val="57765402"/>
    <w:rsid w:val="578E5917"/>
    <w:rsid w:val="57D367F9"/>
    <w:rsid w:val="57F41FDD"/>
    <w:rsid w:val="57F517C5"/>
    <w:rsid w:val="5816188D"/>
    <w:rsid w:val="581B3CFC"/>
    <w:rsid w:val="58254B7B"/>
    <w:rsid w:val="583875F0"/>
    <w:rsid w:val="583F5C3D"/>
    <w:rsid w:val="58762EF7"/>
    <w:rsid w:val="58861520"/>
    <w:rsid w:val="589E2A37"/>
    <w:rsid w:val="58B24661"/>
    <w:rsid w:val="58B97A17"/>
    <w:rsid w:val="590D7AE9"/>
    <w:rsid w:val="59102BFB"/>
    <w:rsid w:val="592310BA"/>
    <w:rsid w:val="594A4899"/>
    <w:rsid w:val="595F1045"/>
    <w:rsid w:val="59B966EC"/>
    <w:rsid w:val="59CC2D88"/>
    <w:rsid w:val="59ED350B"/>
    <w:rsid w:val="59FF1251"/>
    <w:rsid w:val="5A0A04CC"/>
    <w:rsid w:val="5A2212DA"/>
    <w:rsid w:val="5A2C28DB"/>
    <w:rsid w:val="5A7E3EBC"/>
    <w:rsid w:val="5A8C0EE1"/>
    <w:rsid w:val="5AEF5AE4"/>
    <w:rsid w:val="5B4F48CF"/>
    <w:rsid w:val="5B590DC3"/>
    <w:rsid w:val="5B672E6F"/>
    <w:rsid w:val="5B7D3C8A"/>
    <w:rsid w:val="5B9E711E"/>
    <w:rsid w:val="5BE00DEC"/>
    <w:rsid w:val="5BFC5328"/>
    <w:rsid w:val="5C11169E"/>
    <w:rsid w:val="5C167CC8"/>
    <w:rsid w:val="5C2123A3"/>
    <w:rsid w:val="5C346458"/>
    <w:rsid w:val="5C60285B"/>
    <w:rsid w:val="5C9C16B1"/>
    <w:rsid w:val="5CC34A44"/>
    <w:rsid w:val="5CD33A20"/>
    <w:rsid w:val="5CD66444"/>
    <w:rsid w:val="5CE509F4"/>
    <w:rsid w:val="5CE90119"/>
    <w:rsid w:val="5CFA3950"/>
    <w:rsid w:val="5D066D29"/>
    <w:rsid w:val="5D1D4073"/>
    <w:rsid w:val="5D213B63"/>
    <w:rsid w:val="5D42396B"/>
    <w:rsid w:val="5D467A6D"/>
    <w:rsid w:val="5D5B076E"/>
    <w:rsid w:val="5D675B3F"/>
    <w:rsid w:val="5D752101"/>
    <w:rsid w:val="5D9A3915"/>
    <w:rsid w:val="5DB52ADB"/>
    <w:rsid w:val="5E337FF2"/>
    <w:rsid w:val="5E4D2736"/>
    <w:rsid w:val="5E593E97"/>
    <w:rsid w:val="5E670760"/>
    <w:rsid w:val="5E8C14B0"/>
    <w:rsid w:val="5EA467FA"/>
    <w:rsid w:val="5EA92062"/>
    <w:rsid w:val="5EAE1EB6"/>
    <w:rsid w:val="5EBA426F"/>
    <w:rsid w:val="5ECA3D86"/>
    <w:rsid w:val="5EE50BC0"/>
    <w:rsid w:val="5EEC2C5D"/>
    <w:rsid w:val="5F353888"/>
    <w:rsid w:val="5F3B06FF"/>
    <w:rsid w:val="5F5A6BE2"/>
    <w:rsid w:val="5F8E5746"/>
    <w:rsid w:val="5FAA544F"/>
    <w:rsid w:val="5FAD527B"/>
    <w:rsid w:val="5FB02332"/>
    <w:rsid w:val="5FED1320"/>
    <w:rsid w:val="600B28A8"/>
    <w:rsid w:val="60151D76"/>
    <w:rsid w:val="602C3F30"/>
    <w:rsid w:val="604162CA"/>
    <w:rsid w:val="604C498D"/>
    <w:rsid w:val="604C539B"/>
    <w:rsid w:val="60545FFD"/>
    <w:rsid w:val="60916D27"/>
    <w:rsid w:val="60A06F83"/>
    <w:rsid w:val="60AE28F5"/>
    <w:rsid w:val="60B22BD4"/>
    <w:rsid w:val="60CD61E0"/>
    <w:rsid w:val="60EA5239"/>
    <w:rsid w:val="61354081"/>
    <w:rsid w:val="61D174DD"/>
    <w:rsid w:val="61FB0242"/>
    <w:rsid w:val="62045ED0"/>
    <w:rsid w:val="62176A16"/>
    <w:rsid w:val="62246DAA"/>
    <w:rsid w:val="62724E61"/>
    <w:rsid w:val="62AF14A5"/>
    <w:rsid w:val="62EA5256"/>
    <w:rsid w:val="63061E35"/>
    <w:rsid w:val="634A0D1B"/>
    <w:rsid w:val="63852F57"/>
    <w:rsid w:val="639E415F"/>
    <w:rsid w:val="63D32B0C"/>
    <w:rsid w:val="64124BD1"/>
    <w:rsid w:val="641A3707"/>
    <w:rsid w:val="64243F39"/>
    <w:rsid w:val="642E660B"/>
    <w:rsid w:val="64322AF9"/>
    <w:rsid w:val="644D223B"/>
    <w:rsid w:val="646A4C6F"/>
    <w:rsid w:val="64A0581F"/>
    <w:rsid w:val="64AF7913"/>
    <w:rsid w:val="64B52797"/>
    <w:rsid w:val="64F3078F"/>
    <w:rsid w:val="64FE4223"/>
    <w:rsid w:val="65016960"/>
    <w:rsid w:val="65130235"/>
    <w:rsid w:val="65346CAD"/>
    <w:rsid w:val="65400BC5"/>
    <w:rsid w:val="655479FC"/>
    <w:rsid w:val="656A08B8"/>
    <w:rsid w:val="65AA5DA5"/>
    <w:rsid w:val="65AC204E"/>
    <w:rsid w:val="65DA2C0D"/>
    <w:rsid w:val="65E53D1F"/>
    <w:rsid w:val="65F938CF"/>
    <w:rsid w:val="6603474E"/>
    <w:rsid w:val="661916B3"/>
    <w:rsid w:val="663065C4"/>
    <w:rsid w:val="6657616F"/>
    <w:rsid w:val="666A657B"/>
    <w:rsid w:val="66976C44"/>
    <w:rsid w:val="66C2054A"/>
    <w:rsid w:val="67000C8D"/>
    <w:rsid w:val="670D2DBB"/>
    <w:rsid w:val="67125CFF"/>
    <w:rsid w:val="6760797E"/>
    <w:rsid w:val="67896F3E"/>
    <w:rsid w:val="67A05FCC"/>
    <w:rsid w:val="67D51F75"/>
    <w:rsid w:val="67DF06D2"/>
    <w:rsid w:val="67E0036E"/>
    <w:rsid w:val="67E15F4B"/>
    <w:rsid w:val="68000819"/>
    <w:rsid w:val="6808604B"/>
    <w:rsid w:val="68700659"/>
    <w:rsid w:val="687F65CC"/>
    <w:rsid w:val="68833739"/>
    <w:rsid w:val="68A75648"/>
    <w:rsid w:val="68B22C67"/>
    <w:rsid w:val="68D75A1D"/>
    <w:rsid w:val="68DB3F9E"/>
    <w:rsid w:val="68E57F4B"/>
    <w:rsid w:val="68F31F2A"/>
    <w:rsid w:val="690802CD"/>
    <w:rsid w:val="690B6DDE"/>
    <w:rsid w:val="69256789"/>
    <w:rsid w:val="697E6BBA"/>
    <w:rsid w:val="69876ADA"/>
    <w:rsid w:val="69BA5081"/>
    <w:rsid w:val="69D56401"/>
    <w:rsid w:val="6A077B8E"/>
    <w:rsid w:val="6A107AA6"/>
    <w:rsid w:val="6A2F1B92"/>
    <w:rsid w:val="6A2F363C"/>
    <w:rsid w:val="6A627569"/>
    <w:rsid w:val="6AD541DF"/>
    <w:rsid w:val="6AEB57B0"/>
    <w:rsid w:val="6AF50C7B"/>
    <w:rsid w:val="6AFD1B70"/>
    <w:rsid w:val="6B0F5943"/>
    <w:rsid w:val="6B1A7350"/>
    <w:rsid w:val="6B225676"/>
    <w:rsid w:val="6B350841"/>
    <w:rsid w:val="6B405685"/>
    <w:rsid w:val="6B4A697B"/>
    <w:rsid w:val="6B837C8A"/>
    <w:rsid w:val="6B8B6FBB"/>
    <w:rsid w:val="6B8C02F1"/>
    <w:rsid w:val="6BD17723"/>
    <w:rsid w:val="6C192FCE"/>
    <w:rsid w:val="6C1D7E77"/>
    <w:rsid w:val="6C2D526A"/>
    <w:rsid w:val="6C376EFF"/>
    <w:rsid w:val="6C474C0C"/>
    <w:rsid w:val="6C5712F9"/>
    <w:rsid w:val="6CAE2F39"/>
    <w:rsid w:val="6CCD5DB4"/>
    <w:rsid w:val="6CD33986"/>
    <w:rsid w:val="6CDB5151"/>
    <w:rsid w:val="6D015086"/>
    <w:rsid w:val="6D06541E"/>
    <w:rsid w:val="6D5B622D"/>
    <w:rsid w:val="6D9D2BA1"/>
    <w:rsid w:val="6DBA1A79"/>
    <w:rsid w:val="6DC52324"/>
    <w:rsid w:val="6DCB7633"/>
    <w:rsid w:val="6DDC7051"/>
    <w:rsid w:val="6DE035C6"/>
    <w:rsid w:val="6DEF0F5F"/>
    <w:rsid w:val="6E197966"/>
    <w:rsid w:val="6E2A7143"/>
    <w:rsid w:val="6E3B5B1F"/>
    <w:rsid w:val="6E9C724E"/>
    <w:rsid w:val="6EBB05F3"/>
    <w:rsid w:val="6EC067E2"/>
    <w:rsid w:val="6ED722D3"/>
    <w:rsid w:val="6EE844E0"/>
    <w:rsid w:val="6EF66529"/>
    <w:rsid w:val="6F8561D3"/>
    <w:rsid w:val="6FE949B4"/>
    <w:rsid w:val="70253512"/>
    <w:rsid w:val="70260851"/>
    <w:rsid w:val="702974BD"/>
    <w:rsid w:val="702E79F0"/>
    <w:rsid w:val="703025E3"/>
    <w:rsid w:val="703F45D4"/>
    <w:rsid w:val="70652E0F"/>
    <w:rsid w:val="708B7819"/>
    <w:rsid w:val="7092401F"/>
    <w:rsid w:val="709B4B26"/>
    <w:rsid w:val="709F5073"/>
    <w:rsid w:val="70BC3B3B"/>
    <w:rsid w:val="70EE2C55"/>
    <w:rsid w:val="71297F69"/>
    <w:rsid w:val="71340DB5"/>
    <w:rsid w:val="714E0847"/>
    <w:rsid w:val="71662034"/>
    <w:rsid w:val="71704C61"/>
    <w:rsid w:val="71737E78"/>
    <w:rsid w:val="717D3266"/>
    <w:rsid w:val="71996D3B"/>
    <w:rsid w:val="71B86507"/>
    <w:rsid w:val="71ED6CDE"/>
    <w:rsid w:val="71F1532E"/>
    <w:rsid w:val="71F2621A"/>
    <w:rsid w:val="7203428E"/>
    <w:rsid w:val="720927D3"/>
    <w:rsid w:val="72564B05"/>
    <w:rsid w:val="72867C2F"/>
    <w:rsid w:val="72D27424"/>
    <w:rsid w:val="72D52FCE"/>
    <w:rsid w:val="73021EE8"/>
    <w:rsid w:val="73176121"/>
    <w:rsid w:val="731F1763"/>
    <w:rsid w:val="734819F2"/>
    <w:rsid w:val="73740A39"/>
    <w:rsid w:val="7378243C"/>
    <w:rsid w:val="738D7B76"/>
    <w:rsid w:val="73D53982"/>
    <w:rsid w:val="73FD39BA"/>
    <w:rsid w:val="74452DA7"/>
    <w:rsid w:val="745A3C9B"/>
    <w:rsid w:val="745F3497"/>
    <w:rsid w:val="74974E64"/>
    <w:rsid w:val="74A42530"/>
    <w:rsid w:val="74A77B31"/>
    <w:rsid w:val="74A86A1B"/>
    <w:rsid w:val="74B829C9"/>
    <w:rsid w:val="74BA06CD"/>
    <w:rsid w:val="74D759FA"/>
    <w:rsid w:val="74DA6C53"/>
    <w:rsid w:val="753F5076"/>
    <w:rsid w:val="758C74D3"/>
    <w:rsid w:val="759C6025"/>
    <w:rsid w:val="75A6528F"/>
    <w:rsid w:val="75B3692B"/>
    <w:rsid w:val="75BA294F"/>
    <w:rsid w:val="75CB68CA"/>
    <w:rsid w:val="75F952D6"/>
    <w:rsid w:val="760F333C"/>
    <w:rsid w:val="761B6501"/>
    <w:rsid w:val="762B0C5E"/>
    <w:rsid w:val="76433F02"/>
    <w:rsid w:val="76442719"/>
    <w:rsid w:val="7665162A"/>
    <w:rsid w:val="76697F20"/>
    <w:rsid w:val="76BE1FCB"/>
    <w:rsid w:val="76C327BF"/>
    <w:rsid w:val="76FB6D7B"/>
    <w:rsid w:val="77030D1F"/>
    <w:rsid w:val="77043E82"/>
    <w:rsid w:val="77073972"/>
    <w:rsid w:val="77075534"/>
    <w:rsid w:val="7725204A"/>
    <w:rsid w:val="77270EA4"/>
    <w:rsid w:val="772F1365"/>
    <w:rsid w:val="7734007E"/>
    <w:rsid w:val="776668EA"/>
    <w:rsid w:val="77894387"/>
    <w:rsid w:val="779569AA"/>
    <w:rsid w:val="780F083E"/>
    <w:rsid w:val="78133142"/>
    <w:rsid w:val="78185744"/>
    <w:rsid w:val="784F55D0"/>
    <w:rsid w:val="785776F6"/>
    <w:rsid w:val="78B420A4"/>
    <w:rsid w:val="78D35BC0"/>
    <w:rsid w:val="78F6374D"/>
    <w:rsid w:val="790B7D5D"/>
    <w:rsid w:val="79222D93"/>
    <w:rsid w:val="792456C6"/>
    <w:rsid w:val="792675D0"/>
    <w:rsid w:val="793C4A5B"/>
    <w:rsid w:val="794E3ADA"/>
    <w:rsid w:val="79765743"/>
    <w:rsid w:val="798219D5"/>
    <w:rsid w:val="79AF40B0"/>
    <w:rsid w:val="79B37DE1"/>
    <w:rsid w:val="79D70687"/>
    <w:rsid w:val="79E43A5A"/>
    <w:rsid w:val="7A290516"/>
    <w:rsid w:val="7A4822D7"/>
    <w:rsid w:val="7A82555A"/>
    <w:rsid w:val="7AA01A4B"/>
    <w:rsid w:val="7ABD22F8"/>
    <w:rsid w:val="7AC845C7"/>
    <w:rsid w:val="7AE00762"/>
    <w:rsid w:val="7AF423E4"/>
    <w:rsid w:val="7B0703E4"/>
    <w:rsid w:val="7B4428FF"/>
    <w:rsid w:val="7B531B4A"/>
    <w:rsid w:val="7B61699D"/>
    <w:rsid w:val="7B827A6B"/>
    <w:rsid w:val="7B95655D"/>
    <w:rsid w:val="7BA42C3C"/>
    <w:rsid w:val="7C015EDB"/>
    <w:rsid w:val="7C1C07BD"/>
    <w:rsid w:val="7CC66E39"/>
    <w:rsid w:val="7D2A7B49"/>
    <w:rsid w:val="7D3134F6"/>
    <w:rsid w:val="7D737C30"/>
    <w:rsid w:val="7D7A746D"/>
    <w:rsid w:val="7D981D98"/>
    <w:rsid w:val="7DA1622E"/>
    <w:rsid w:val="7DBC3116"/>
    <w:rsid w:val="7DF21462"/>
    <w:rsid w:val="7DF74690"/>
    <w:rsid w:val="7E11576F"/>
    <w:rsid w:val="7E1B11F2"/>
    <w:rsid w:val="7E4E77A6"/>
    <w:rsid w:val="7E6E1FC0"/>
    <w:rsid w:val="7E6E6650"/>
    <w:rsid w:val="7E9401E1"/>
    <w:rsid w:val="7EBB1BB8"/>
    <w:rsid w:val="7EBE525E"/>
    <w:rsid w:val="7EC05043"/>
    <w:rsid w:val="7EF26CB5"/>
    <w:rsid w:val="7F3203AA"/>
    <w:rsid w:val="7F7C0FD2"/>
    <w:rsid w:val="7F854C82"/>
    <w:rsid w:val="7F8738A2"/>
    <w:rsid w:val="7F892FB9"/>
    <w:rsid w:val="7F9A1874"/>
    <w:rsid w:val="7FA206DC"/>
    <w:rsid w:val="7FB05FAF"/>
    <w:rsid w:val="7FD132E2"/>
    <w:rsid w:val="7FD21AB1"/>
    <w:rsid w:val="7FD96A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5">
    <w:name w:val="heading 1"/>
    <w:basedOn w:val="1"/>
    <w:next w:val="1"/>
    <w:qFormat/>
    <w:uiPriority w:val="0"/>
    <w:pPr>
      <w:keepNext/>
      <w:keepLines/>
      <w:spacing w:before="340" w:after="330" w:line="578" w:lineRule="auto"/>
      <w:outlineLvl w:val="0"/>
    </w:pPr>
    <w:rPr>
      <w:rFonts w:eastAsia="黑体"/>
      <w:b/>
      <w:bCs/>
      <w:kern w:val="44"/>
      <w:sz w:val="32"/>
      <w:szCs w:val="44"/>
    </w:rPr>
  </w:style>
  <w:style w:type="paragraph" w:styleId="6">
    <w:name w:val="heading 2"/>
    <w:basedOn w:val="1"/>
    <w:next w:val="1"/>
    <w:unhideWhenUsed/>
    <w:qFormat/>
    <w:uiPriority w:val="0"/>
    <w:pPr>
      <w:keepNext/>
      <w:keepLines/>
      <w:spacing w:line="416" w:lineRule="auto"/>
      <w:outlineLvl w:val="1"/>
    </w:pPr>
    <w:rPr>
      <w:rFonts w:ascii="Arial" w:hAnsi="Arial" w:eastAsia="黑体"/>
      <w:b/>
      <w:bCs/>
      <w:sz w:val="32"/>
      <w:szCs w:val="32"/>
    </w:rPr>
  </w:style>
  <w:style w:type="paragraph" w:styleId="7">
    <w:name w:val="heading 3"/>
    <w:basedOn w:val="1"/>
    <w:next w:val="1"/>
    <w:unhideWhenUsed/>
    <w:qFormat/>
    <w:uiPriority w:val="0"/>
    <w:pPr>
      <w:jc w:val="left"/>
      <w:outlineLvl w:val="2"/>
    </w:pPr>
    <w:rPr>
      <w:rFonts w:eastAsia="黑体"/>
      <w:kern w:val="0"/>
      <w:sz w:val="20"/>
      <w:szCs w:val="20"/>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spacing w:after="120"/>
      <w:ind w:left="420" w:leftChars="200" w:firstLine="420"/>
    </w:pPr>
    <w:rPr>
      <w:rFonts w:ascii="宋体" w:eastAsia="宋体"/>
      <w:sz w:val="21"/>
      <w:szCs w:val="24"/>
    </w:rPr>
  </w:style>
  <w:style w:type="paragraph" w:styleId="3">
    <w:name w:val="Body Text Indent"/>
    <w:basedOn w:val="1"/>
    <w:next w:val="4"/>
    <w:qFormat/>
    <w:uiPriority w:val="0"/>
    <w:pPr>
      <w:ind w:firstLine="640" w:firstLineChars="200"/>
    </w:pPr>
    <w:rPr>
      <w:rFonts w:ascii="仿宋_GB2312" w:eastAsia="仿宋_GB2312"/>
      <w:sz w:val="32"/>
    </w:rPr>
  </w:style>
  <w:style w:type="paragraph" w:styleId="4">
    <w:name w:val="envelope return"/>
    <w:basedOn w:val="1"/>
    <w:qFormat/>
    <w:uiPriority w:val="0"/>
    <w:pPr>
      <w:snapToGrid w:val="0"/>
    </w:pPr>
    <w:rPr>
      <w:rFonts w:ascii="Arial" w:hAnsi="Arial" w:cs="Arial"/>
      <w:szCs w:val="24"/>
    </w:rPr>
  </w:style>
  <w:style w:type="paragraph" w:styleId="8">
    <w:name w:val="List Number 2"/>
    <w:basedOn w:val="1"/>
    <w:qFormat/>
    <w:uiPriority w:val="0"/>
    <w:pPr>
      <w:numPr>
        <w:ilvl w:val="0"/>
        <w:numId w:val="1"/>
      </w:numPr>
    </w:pPr>
  </w:style>
  <w:style w:type="paragraph" w:styleId="9">
    <w:name w:val="Normal Indent"/>
    <w:basedOn w:val="1"/>
    <w:qFormat/>
    <w:uiPriority w:val="0"/>
    <w:pPr>
      <w:ind w:firstLine="420" w:firstLineChars="200"/>
    </w:pPr>
  </w:style>
  <w:style w:type="paragraph" w:styleId="10">
    <w:name w:val="toa heading"/>
    <w:basedOn w:val="1"/>
    <w:next w:val="1"/>
    <w:qFormat/>
    <w:uiPriority w:val="0"/>
    <w:pPr>
      <w:spacing w:before="120"/>
    </w:pPr>
    <w:rPr>
      <w:rFonts w:ascii="Arial" w:hAnsi="Arial"/>
      <w:sz w:val="24"/>
    </w:rPr>
  </w:style>
  <w:style w:type="paragraph" w:styleId="11">
    <w:name w:val="annotation text"/>
    <w:basedOn w:val="1"/>
    <w:link w:val="61"/>
    <w:qFormat/>
    <w:uiPriority w:val="0"/>
    <w:pPr>
      <w:jc w:val="left"/>
    </w:pPr>
  </w:style>
  <w:style w:type="paragraph" w:styleId="12">
    <w:name w:val="Body Text"/>
    <w:basedOn w:val="1"/>
    <w:next w:val="13"/>
    <w:qFormat/>
    <w:uiPriority w:val="0"/>
    <w:pPr>
      <w:spacing w:after="120"/>
    </w:pPr>
  </w:style>
  <w:style w:type="paragraph" w:customStyle="1" w:styleId="13">
    <w:name w:val="目录 71"/>
    <w:basedOn w:val="1"/>
    <w:next w:val="1"/>
    <w:qFormat/>
    <w:uiPriority w:val="0"/>
    <w:pPr>
      <w:ind w:left="2520"/>
    </w:pPr>
    <w:rPr>
      <w:rFonts w:ascii="Calibri"/>
    </w:rPr>
  </w:style>
  <w:style w:type="paragraph" w:styleId="14">
    <w:name w:val="List Number 3"/>
    <w:basedOn w:val="1"/>
    <w:next w:val="15"/>
    <w:qFormat/>
    <w:uiPriority w:val="0"/>
    <w:pPr>
      <w:numPr>
        <w:ilvl w:val="0"/>
        <w:numId w:val="2"/>
      </w:numPr>
    </w:pPr>
  </w:style>
  <w:style w:type="paragraph" w:styleId="15">
    <w:name w:val="Date"/>
    <w:basedOn w:val="1"/>
    <w:next w:val="1"/>
    <w:link w:val="49"/>
    <w:qFormat/>
    <w:uiPriority w:val="0"/>
    <w:pPr>
      <w:ind w:left="100" w:leftChars="2500"/>
    </w:pPr>
  </w:style>
  <w:style w:type="paragraph" w:styleId="16">
    <w:name w:val="index 4"/>
    <w:basedOn w:val="1"/>
    <w:next w:val="1"/>
    <w:qFormat/>
    <w:uiPriority w:val="99"/>
    <w:pPr>
      <w:ind w:left="600" w:leftChars="600"/>
    </w:pPr>
    <w:rPr>
      <w:szCs w:val="24"/>
    </w:rPr>
  </w:style>
  <w:style w:type="paragraph" w:styleId="17">
    <w:name w:val="toc 5"/>
    <w:basedOn w:val="1"/>
    <w:next w:val="1"/>
    <w:qFormat/>
    <w:uiPriority w:val="0"/>
    <w:pPr>
      <w:ind w:left="1"/>
    </w:pPr>
    <w:rPr>
      <w:b/>
    </w:rPr>
  </w:style>
  <w:style w:type="paragraph" w:styleId="18">
    <w:name w:val="Plain Text"/>
    <w:basedOn w:val="1"/>
    <w:qFormat/>
    <w:uiPriority w:val="0"/>
    <w:rPr>
      <w:rFonts w:ascii="宋体" w:hAnsi="Courier New"/>
    </w:rPr>
  </w:style>
  <w:style w:type="paragraph" w:styleId="19">
    <w:name w:val="footer"/>
    <w:basedOn w:val="1"/>
    <w:qFormat/>
    <w:uiPriority w:val="0"/>
    <w:pPr>
      <w:tabs>
        <w:tab w:val="center" w:pos="4153"/>
        <w:tab w:val="right" w:pos="8306"/>
      </w:tabs>
      <w:snapToGrid w:val="0"/>
      <w:jc w:val="left"/>
    </w:pPr>
    <w:rPr>
      <w:sz w:val="18"/>
    </w:rPr>
  </w:style>
  <w:style w:type="paragraph" w:styleId="2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1">
    <w:name w:val="toc 1"/>
    <w:basedOn w:val="1"/>
    <w:next w:val="1"/>
    <w:semiHidden/>
    <w:qFormat/>
    <w:uiPriority w:val="0"/>
  </w:style>
  <w:style w:type="paragraph" w:styleId="22">
    <w:name w:val="toc 6"/>
    <w:basedOn w:val="1"/>
    <w:next w:val="1"/>
    <w:qFormat/>
    <w:uiPriority w:val="0"/>
    <w:pPr>
      <w:ind w:left="1050"/>
      <w:jc w:val="left"/>
    </w:pPr>
    <w:rPr>
      <w:rFonts w:ascii="@仿宋_GB2312" w:hAnsi="@仿宋_GB2312" w:eastAsia="@仿宋_GB2312" w:cs="@仿宋_GB2312"/>
      <w:szCs w:val="21"/>
    </w:rPr>
  </w:style>
  <w:style w:type="paragraph" w:styleId="23">
    <w:name w:val="Normal (Web)"/>
    <w:basedOn w:val="1"/>
    <w:qFormat/>
    <w:uiPriority w:val="0"/>
    <w:pPr>
      <w:spacing w:before="100" w:beforeAutospacing="1" w:after="100" w:afterAutospacing="1"/>
      <w:jc w:val="left"/>
    </w:pPr>
    <w:rPr>
      <w:kern w:val="0"/>
      <w:sz w:val="24"/>
    </w:rPr>
  </w:style>
  <w:style w:type="paragraph" w:styleId="24">
    <w:name w:val="annotation subject"/>
    <w:basedOn w:val="11"/>
    <w:next w:val="11"/>
    <w:link w:val="62"/>
    <w:qFormat/>
    <w:uiPriority w:val="0"/>
    <w:rPr>
      <w:b/>
      <w:bCs/>
    </w:rPr>
  </w:style>
  <w:style w:type="paragraph" w:styleId="25">
    <w:name w:val="Body Text First Indent"/>
    <w:basedOn w:val="12"/>
    <w:qFormat/>
    <w:uiPriority w:val="99"/>
    <w:pPr>
      <w:spacing w:line="400" w:lineRule="atLeast"/>
      <w:ind w:firstLine="426"/>
    </w:pPr>
    <w:rPr>
      <w:sz w:val="24"/>
      <w:szCs w:val="20"/>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rPr>
  </w:style>
  <w:style w:type="character" w:styleId="30">
    <w:name w:val="page number"/>
    <w:basedOn w:val="28"/>
    <w:qFormat/>
    <w:uiPriority w:val="0"/>
  </w:style>
  <w:style w:type="character" w:styleId="31">
    <w:name w:val="FollowedHyperlink"/>
    <w:basedOn w:val="28"/>
    <w:qFormat/>
    <w:uiPriority w:val="0"/>
    <w:rPr>
      <w:color w:val="333333"/>
      <w:u w:val="none"/>
    </w:rPr>
  </w:style>
  <w:style w:type="character" w:styleId="32">
    <w:name w:val="HTML Definition"/>
    <w:basedOn w:val="28"/>
    <w:qFormat/>
    <w:uiPriority w:val="0"/>
  </w:style>
  <w:style w:type="character" w:styleId="33">
    <w:name w:val="HTML Typewriter"/>
    <w:basedOn w:val="28"/>
    <w:qFormat/>
    <w:uiPriority w:val="0"/>
    <w:rPr>
      <w:rFonts w:hint="default" w:ascii="monospace" w:hAnsi="monospace" w:eastAsia="monospace" w:cs="monospace"/>
      <w:sz w:val="20"/>
    </w:rPr>
  </w:style>
  <w:style w:type="character" w:styleId="34">
    <w:name w:val="HTML Acronym"/>
    <w:basedOn w:val="28"/>
    <w:qFormat/>
    <w:uiPriority w:val="0"/>
  </w:style>
  <w:style w:type="character" w:styleId="35">
    <w:name w:val="HTML Variable"/>
    <w:basedOn w:val="28"/>
    <w:qFormat/>
    <w:uiPriority w:val="0"/>
  </w:style>
  <w:style w:type="character" w:styleId="36">
    <w:name w:val="Hyperlink"/>
    <w:basedOn w:val="28"/>
    <w:qFormat/>
    <w:uiPriority w:val="0"/>
    <w:rPr>
      <w:color w:val="333333"/>
      <w:u w:val="none"/>
    </w:rPr>
  </w:style>
  <w:style w:type="character" w:styleId="37">
    <w:name w:val="HTML Code"/>
    <w:basedOn w:val="28"/>
    <w:qFormat/>
    <w:uiPriority w:val="0"/>
    <w:rPr>
      <w:rFonts w:hint="default" w:ascii="monospace" w:hAnsi="monospace" w:eastAsia="monospace" w:cs="monospace"/>
      <w:sz w:val="20"/>
    </w:rPr>
  </w:style>
  <w:style w:type="character" w:styleId="38">
    <w:name w:val="annotation reference"/>
    <w:basedOn w:val="28"/>
    <w:qFormat/>
    <w:uiPriority w:val="0"/>
    <w:rPr>
      <w:sz w:val="21"/>
      <w:szCs w:val="21"/>
    </w:rPr>
  </w:style>
  <w:style w:type="character" w:styleId="39">
    <w:name w:val="HTML Cite"/>
    <w:basedOn w:val="28"/>
    <w:qFormat/>
    <w:uiPriority w:val="0"/>
  </w:style>
  <w:style w:type="character" w:styleId="40">
    <w:name w:val="HTML Keyboard"/>
    <w:basedOn w:val="28"/>
    <w:qFormat/>
    <w:uiPriority w:val="0"/>
    <w:rPr>
      <w:rFonts w:ascii="monospace" w:hAnsi="monospace" w:eastAsia="monospace" w:cs="monospace"/>
      <w:sz w:val="20"/>
    </w:rPr>
  </w:style>
  <w:style w:type="character" w:styleId="41">
    <w:name w:val="HTML Sample"/>
    <w:basedOn w:val="28"/>
    <w:qFormat/>
    <w:uiPriority w:val="0"/>
    <w:rPr>
      <w:rFonts w:hint="default" w:ascii="monospace" w:hAnsi="monospace" w:eastAsia="monospace" w:cs="monospace"/>
    </w:rPr>
  </w:style>
  <w:style w:type="paragraph" w:customStyle="1" w:styleId="42">
    <w:name w:val="列出段落1"/>
    <w:basedOn w:val="1"/>
    <w:qFormat/>
    <w:uiPriority w:val="0"/>
    <w:pPr>
      <w:ind w:firstLine="420" w:firstLineChars="200"/>
    </w:pPr>
  </w:style>
  <w:style w:type="paragraph" w:customStyle="1" w:styleId="43">
    <w:name w:val="正文文本首行缩进1"/>
    <w:basedOn w:val="12"/>
    <w:next w:val="22"/>
    <w:qFormat/>
    <w:uiPriority w:val="0"/>
    <w:pPr>
      <w:widowControl/>
      <w:ind w:firstLine="420" w:firstLineChars="100"/>
      <w:jc w:val="left"/>
    </w:pPr>
    <w:rPr>
      <w:kern w:val="0"/>
      <w:sz w:val="24"/>
    </w:rPr>
  </w:style>
  <w:style w:type="paragraph" w:customStyle="1" w:styleId="44">
    <w:name w:val="Default"/>
    <w:basedOn w:val="1"/>
    <w:qFormat/>
    <w:uiPriority w:val="0"/>
    <w:pPr>
      <w:autoSpaceDE w:val="0"/>
      <w:autoSpaceDN w:val="0"/>
      <w:adjustRightInd w:val="0"/>
      <w:jc w:val="left"/>
    </w:pPr>
    <w:rPr>
      <w:rFonts w:ascii="黑体" w:hAnsi="黑体" w:eastAsia="黑体" w:cs="宋体"/>
      <w:color w:val="000000"/>
      <w:kern w:val="0"/>
      <w:sz w:val="24"/>
      <w:szCs w:val="24"/>
    </w:rPr>
  </w:style>
  <w:style w:type="paragraph" w:customStyle="1" w:styleId="45">
    <w:name w:val="表格文字"/>
    <w:basedOn w:val="1"/>
    <w:next w:val="12"/>
    <w:qFormat/>
    <w:uiPriority w:val="0"/>
    <w:pPr>
      <w:adjustRightInd w:val="0"/>
      <w:spacing w:line="420" w:lineRule="atLeast"/>
      <w:textAlignment w:val="baseline"/>
    </w:pPr>
    <w:rPr>
      <w:szCs w:val="24"/>
    </w:rPr>
  </w:style>
  <w:style w:type="paragraph" w:customStyle="1" w:styleId="46">
    <w:name w:val="p0"/>
    <w:basedOn w:val="1"/>
    <w:qFormat/>
    <w:uiPriority w:val="0"/>
    <w:pPr>
      <w:widowControl/>
      <w:jc w:val="left"/>
    </w:pPr>
    <w:rPr>
      <w:kern w:val="0"/>
      <w:sz w:val="20"/>
    </w:rPr>
  </w:style>
  <w:style w:type="paragraph" w:customStyle="1" w:styleId="47">
    <w:name w:val="样式 标题 2 + Times New Roman 四号 非加粗 段前: 5 磅 段后: 0 磅 行距: 固定值 20..."/>
    <w:basedOn w:val="6"/>
    <w:qFormat/>
    <w:uiPriority w:val="0"/>
    <w:pPr>
      <w:spacing w:line="400" w:lineRule="exact"/>
    </w:pPr>
    <w:rPr>
      <w:rFonts w:ascii="Times New Roman" w:hAnsi="Times New Roman" w:cs="宋体"/>
      <w:b w:val="0"/>
      <w:bCs w:val="0"/>
      <w:sz w:val="28"/>
      <w:szCs w:val="20"/>
    </w:rPr>
  </w:style>
  <w:style w:type="paragraph" w:customStyle="1" w:styleId="48">
    <w:name w:val="样式 标题 3 + (中文) 黑体 小四 非加粗 段前: 7.8 磅 段后: 0 磅 行距: 固定值 20 磅"/>
    <w:basedOn w:val="7"/>
    <w:qFormat/>
    <w:uiPriority w:val="0"/>
    <w:pPr>
      <w:keepNext/>
      <w:keepLines/>
      <w:spacing w:line="400" w:lineRule="exact"/>
      <w:jc w:val="both"/>
    </w:pPr>
    <w:rPr>
      <w:rFonts w:cs="宋体"/>
      <w:kern w:val="2"/>
      <w:sz w:val="24"/>
    </w:rPr>
  </w:style>
  <w:style w:type="character" w:customStyle="1" w:styleId="49">
    <w:name w:val="日期 字符"/>
    <w:basedOn w:val="28"/>
    <w:link w:val="15"/>
    <w:qFormat/>
    <w:uiPriority w:val="0"/>
    <w:rPr>
      <w:kern w:val="2"/>
      <w:sz w:val="21"/>
      <w:szCs w:val="22"/>
    </w:rPr>
  </w:style>
  <w:style w:type="paragraph" w:customStyle="1" w:styleId="50">
    <w:name w:val="样式 标题 2 + 宋体 五号 行距: 单倍行距"/>
    <w:next w:val="10"/>
    <w:qFormat/>
    <w:uiPriority w:val="0"/>
    <w:pPr>
      <w:keepNext/>
      <w:keepLines/>
      <w:widowControl w:val="0"/>
      <w:adjustRightInd w:val="0"/>
      <w:spacing w:before="260" w:after="260"/>
      <w:textAlignment w:val="baseline"/>
      <w:outlineLvl w:val="1"/>
    </w:pPr>
    <w:rPr>
      <w:rFonts w:ascii="宋体" w:hAnsi="Times New Roman" w:eastAsia="宋体" w:cs="Times New Roman"/>
      <w:b/>
      <w:sz w:val="21"/>
      <w:lang w:val="en-US" w:eastAsia="zh-CN" w:bidi="ar-SA"/>
    </w:rPr>
  </w:style>
  <w:style w:type="paragraph" w:customStyle="1" w:styleId="51">
    <w:name w:val="表正文"/>
    <w:next w:val="17"/>
    <w:qFormat/>
    <w:uiPriority w:val="0"/>
    <w:pPr>
      <w:widowControl w:val="0"/>
      <w:jc w:val="both"/>
    </w:pPr>
    <w:rPr>
      <w:rFonts w:ascii="宋体" w:hAnsi="Times New Roman" w:eastAsia="宋体" w:cs="Times New Roman"/>
      <w:kern w:val="2"/>
      <w:sz w:val="21"/>
      <w:lang w:val="en-US" w:eastAsia="zh-CN" w:bidi="ar-SA"/>
    </w:rPr>
  </w:style>
  <w:style w:type="paragraph" w:customStyle="1" w:styleId="52">
    <w:name w:val="paragraphindent"/>
    <w:basedOn w:val="1"/>
    <w:qFormat/>
    <w:uiPriority w:val="0"/>
    <w:pPr>
      <w:widowControl/>
      <w:spacing w:before="100" w:beforeAutospacing="1" w:after="100" w:afterAutospacing="1"/>
      <w:jc w:val="left"/>
    </w:pPr>
    <w:rPr>
      <w:rFonts w:ascii="宋体" w:hAnsi="宋体" w:cs="宋体"/>
      <w:kern w:val="0"/>
      <w:sz w:val="24"/>
    </w:rPr>
  </w:style>
  <w:style w:type="character" w:customStyle="1" w:styleId="53">
    <w:name w:val="item-name"/>
    <w:basedOn w:val="28"/>
    <w:qFormat/>
    <w:uiPriority w:val="0"/>
  </w:style>
  <w:style w:type="character" w:customStyle="1" w:styleId="54">
    <w:name w:val="item-name1"/>
    <w:basedOn w:val="28"/>
    <w:qFormat/>
    <w:uiPriority w:val="0"/>
  </w:style>
  <w:style w:type="character" w:customStyle="1" w:styleId="55">
    <w:name w:val="item-name2"/>
    <w:basedOn w:val="28"/>
    <w:qFormat/>
    <w:uiPriority w:val="0"/>
    <w:rPr>
      <w:rFonts w:hint="eastAsia" w:ascii="宋体" w:hAnsi="宋体" w:eastAsia="宋体" w:cs="宋体"/>
      <w:color w:val="438BD3"/>
      <w:sz w:val="12"/>
      <w:szCs w:val="12"/>
      <w:u w:val="none"/>
    </w:rPr>
  </w:style>
  <w:style w:type="paragraph" w:customStyle="1" w:styleId="56">
    <w:name w:val="表格内容"/>
    <w:basedOn w:val="1"/>
    <w:qFormat/>
    <w:uiPriority w:val="0"/>
    <w:pPr>
      <w:suppressLineNumbers/>
    </w:pPr>
  </w:style>
  <w:style w:type="paragraph" w:styleId="57">
    <w:name w:val="List Paragraph"/>
    <w:basedOn w:val="1"/>
    <w:qFormat/>
    <w:uiPriority w:val="34"/>
    <w:pPr>
      <w:ind w:firstLine="420" w:firstLineChars="200"/>
    </w:pPr>
  </w:style>
  <w:style w:type="character" w:customStyle="1" w:styleId="58">
    <w:name w:val="font11"/>
    <w:basedOn w:val="28"/>
    <w:qFormat/>
    <w:uiPriority w:val="0"/>
    <w:rPr>
      <w:rFonts w:hint="default" w:ascii="Times New Roman" w:hAnsi="Times New Roman" w:cs="Times New Roman"/>
      <w:color w:val="333333"/>
      <w:sz w:val="28"/>
      <w:szCs w:val="28"/>
      <w:u w:val="none"/>
    </w:rPr>
  </w:style>
  <w:style w:type="character" w:customStyle="1" w:styleId="59">
    <w:name w:val="font01"/>
    <w:basedOn w:val="28"/>
    <w:qFormat/>
    <w:uiPriority w:val="0"/>
    <w:rPr>
      <w:rFonts w:hint="eastAsia" w:ascii="宋体" w:hAnsi="宋体" w:eastAsia="宋体" w:cs="宋体"/>
      <w:color w:val="333333"/>
      <w:sz w:val="28"/>
      <w:szCs w:val="28"/>
      <w:u w:val="none"/>
    </w:rPr>
  </w:style>
  <w:style w:type="paragraph" w:customStyle="1" w:styleId="60">
    <w:name w:val="样式1"/>
    <w:basedOn w:val="6"/>
    <w:qFormat/>
    <w:uiPriority w:val="99"/>
    <w:pPr>
      <w:numPr>
        <w:ilvl w:val="1"/>
        <w:numId w:val="3"/>
      </w:numPr>
      <w:spacing w:before="100" w:beforeAutospacing="1" w:after="100" w:afterAutospacing="1" w:line="240" w:lineRule="auto"/>
      <w:contextualSpacing/>
    </w:pPr>
    <w:rPr>
      <w:rFonts w:ascii="Calibri" w:hAnsi="Calibri"/>
      <w:sz w:val="28"/>
    </w:rPr>
  </w:style>
  <w:style w:type="character" w:customStyle="1" w:styleId="61">
    <w:name w:val="批注文字 字符"/>
    <w:basedOn w:val="28"/>
    <w:link w:val="11"/>
    <w:qFormat/>
    <w:uiPriority w:val="0"/>
    <w:rPr>
      <w:kern w:val="2"/>
      <w:sz w:val="21"/>
      <w:szCs w:val="22"/>
    </w:rPr>
  </w:style>
  <w:style w:type="character" w:customStyle="1" w:styleId="62">
    <w:name w:val="批注主题 字符"/>
    <w:basedOn w:val="61"/>
    <w:link w:val="24"/>
    <w:qFormat/>
    <w:uiPriority w:val="0"/>
    <w:rPr>
      <w:b/>
      <w:bCs/>
      <w:kern w:val="2"/>
      <w:sz w:val="21"/>
      <w:szCs w:val="22"/>
    </w:rPr>
  </w:style>
  <w:style w:type="paragraph" w:customStyle="1" w:styleId="63">
    <w:name w:val="正文1"/>
    <w:qFormat/>
    <w:uiPriority w:val="0"/>
    <w:pPr>
      <w:widowControl w:val="0"/>
      <w:jc w:val="both"/>
    </w:pPr>
    <w:rPr>
      <w:rFonts w:ascii="等线" w:hAnsi="等线" w:eastAsia="等线" w:cs="Times New Roman"/>
      <w:kern w:val="2"/>
      <w:sz w:val="21"/>
      <w:szCs w:val="21"/>
      <w:lang w:val="en-US" w:eastAsia="zh-CN" w:bidi="ar-SA"/>
    </w:rPr>
  </w:style>
  <w:style w:type="paragraph" w:customStyle="1" w:styleId="64">
    <w:name w:val="Char"/>
    <w:basedOn w:val="1"/>
    <w:qFormat/>
    <w:uiPriority w:val="0"/>
  </w:style>
  <w:style w:type="character" w:customStyle="1" w:styleId="65">
    <w:name w:val="font21"/>
    <w:basedOn w:val="28"/>
    <w:qFormat/>
    <w:uiPriority w:val="0"/>
    <w:rPr>
      <w:rFonts w:hint="default" w:ascii="Times New Roman" w:hAnsi="Times New Roman" w:cs="Times New Roman"/>
      <w:color w:val="000000"/>
      <w:sz w:val="21"/>
      <w:szCs w:val="21"/>
      <w:u w:val="none"/>
    </w:rPr>
  </w:style>
  <w:style w:type="table" w:customStyle="1" w:styleId="66">
    <w:name w:val="Table Normal"/>
    <w:unhideWhenUsed/>
    <w:qFormat/>
    <w:uiPriority w:val="0"/>
    <w:tblPr>
      <w:tblCellMar>
        <w:top w:w="0" w:type="dxa"/>
        <w:left w:w="0" w:type="dxa"/>
        <w:bottom w:w="0" w:type="dxa"/>
        <w:right w:w="0" w:type="dxa"/>
      </w:tblCellMar>
    </w:tblPr>
  </w:style>
  <w:style w:type="character" w:customStyle="1" w:styleId="67">
    <w:name w:val="font41"/>
    <w:basedOn w:val="28"/>
    <w:qFormat/>
    <w:uiPriority w:val="0"/>
    <w:rPr>
      <w:rFonts w:hint="eastAsia" w:ascii="宋体" w:hAnsi="宋体" w:eastAsia="宋体" w:cs="宋体"/>
      <w:color w:val="000000"/>
      <w:sz w:val="24"/>
      <w:szCs w:val="24"/>
      <w:u w:val="none"/>
    </w:rPr>
  </w:style>
  <w:style w:type="paragraph" w:customStyle="1" w:styleId="68">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10851</Words>
  <Characters>11670</Characters>
  <Lines>68</Lines>
  <Paragraphs>19</Paragraphs>
  <TotalTime>11</TotalTime>
  <ScaleCrop>false</ScaleCrop>
  <LinksUpToDate>false</LinksUpToDate>
  <CharactersWithSpaces>13286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2023-05-25T09:53:00Z</dcterms:created>
  <dc:creator>Administrator</dc:creator>
  <cp:lastModifiedBy>等</cp:lastModifiedBy>
  <cp:lastPrinted>2024-09-10T01:01:00Z</cp:lastPrinted>
  <dcterms:modified xsi:type="dcterms:W3CDTF">2025-07-09T07:25:38Z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22FE8F17AEAC4280B49FDA841CEF7853_13</vt:lpwstr>
  </property>
  <property fmtid="{D5CDD505-2E9C-101B-9397-08002B2CF9AE}" pid="4" name="commondata">
    <vt:lpwstr>eyJoZGlkIjoiNWFhMDYwMDFiOGZlNjQ1ODE2OWZmZDk4OTdlM2NlMTAifQ==</vt:lpwstr>
  </property>
  <property fmtid="{D5CDD505-2E9C-101B-9397-08002B2CF9AE}" pid="5" name="KSOTemplateDocerSaveRecord">
    <vt:lpwstr>eyJoZGlkIjoiZjFjMzg2ZjdjMWFlYmViNzJjYWMxZTBmNGE5NmU4NWIiLCJ1c2VySWQiOiIzMDgxMjg5MzYifQ==</vt:lpwstr>
  </property>
</Properties>
</file>