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9382E">
      <w:pPr>
        <w:spacing w:line="360" w:lineRule="auto"/>
        <w:jc w:val="center"/>
        <w:outlineLvl w:val="0"/>
        <w:rPr>
          <w:rFonts w:asciiTheme="minorEastAsia" w:hAnsiTheme="minorEastAsia" w:eastAsiaTheme="minorEastAsia"/>
          <w:b/>
          <w:sz w:val="28"/>
        </w:rPr>
      </w:pPr>
      <w:r>
        <w:rPr>
          <w:rFonts w:hint="eastAsia" w:asciiTheme="minorEastAsia" w:hAnsiTheme="minorEastAsia" w:eastAsiaTheme="minorEastAsia"/>
          <w:b/>
          <w:sz w:val="28"/>
        </w:rPr>
        <w:t>采购需求</w:t>
      </w:r>
    </w:p>
    <w:p w14:paraId="4DD62AE7">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前注：</w:t>
      </w:r>
    </w:p>
    <w:p w14:paraId="3D7147ED">
      <w:pPr>
        <w:spacing w:line="360" w:lineRule="auto"/>
        <w:ind w:firstLine="480" w:firstLineChars="200"/>
        <w:rPr>
          <w:rFonts w:asciiTheme="minorEastAsia" w:hAnsiTheme="minorEastAsia" w:eastAsiaTheme="minorEastAsia"/>
          <w:sz w:val="24"/>
          <w:szCs w:val="18"/>
        </w:rPr>
      </w:pPr>
      <w:r>
        <w:rPr>
          <w:rFonts w:hint="eastAsia" w:asciiTheme="minorEastAsia" w:hAnsiTheme="minorEastAsia" w:eastAsiaTheme="minorEastAsia"/>
          <w:sz w:val="24"/>
        </w:rPr>
        <w:t>1.</w:t>
      </w:r>
      <w:r>
        <w:rPr>
          <w:rFonts w:asciiTheme="minorEastAsia" w:hAnsiTheme="minorEastAsia" w:eastAsiaTheme="minorEastAsia"/>
          <w:sz w:val="24"/>
          <w:szCs w:val="18"/>
        </w:rPr>
        <w:t>根据《关于规范政府采购进口产品有关工作的通知》及政府采购管理部门的相关规定，下列采购需求中</w:t>
      </w:r>
      <w:r>
        <w:rPr>
          <w:rFonts w:hint="eastAsia" w:asciiTheme="minorEastAsia" w:hAnsiTheme="minorEastAsia" w:eastAsiaTheme="minorEastAsia"/>
          <w:sz w:val="24"/>
          <w:szCs w:val="18"/>
        </w:rPr>
        <w:t>标注进口产品的货物均</w:t>
      </w:r>
      <w:r>
        <w:rPr>
          <w:rFonts w:asciiTheme="minorEastAsia" w:hAnsiTheme="minorEastAsia" w:eastAsiaTheme="minorEastAsia"/>
          <w:sz w:val="24"/>
          <w:szCs w:val="18"/>
        </w:rPr>
        <w:t>已履行相关论证手续，经核准采购进口</w:t>
      </w:r>
      <w:r>
        <w:rPr>
          <w:rFonts w:hint="eastAsia" w:asciiTheme="minorEastAsia" w:hAnsiTheme="minorEastAsia" w:eastAsiaTheme="minorEastAsia"/>
          <w:sz w:val="24"/>
          <w:szCs w:val="18"/>
        </w:rPr>
        <w:t>产品</w:t>
      </w:r>
      <w:r>
        <w:rPr>
          <w:rFonts w:asciiTheme="minorEastAsia" w:hAnsiTheme="minorEastAsia" w:eastAsiaTheme="minorEastAsia"/>
          <w:sz w:val="24"/>
          <w:szCs w:val="18"/>
        </w:rPr>
        <w:t>，但不限制满足询价通知书要求的国内产品参与竞争</w:t>
      </w:r>
      <w:r>
        <w:rPr>
          <w:rFonts w:hint="eastAsia" w:asciiTheme="minorEastAsia" w:hAnsiTheme="minorEastAsia" w:eastAsiaTheme="minorEastAsia"/>
          <w:sz w:val="24"/>
          <w:szCs w:val="18"/>
        </w:rPr>
        <w:t>。未标注进口产品的货物均</w:t>
      </w:r>
      <w:r>
        <w:rPr>
          <w:rFonts w:asciiTheme="minorEastAsia" w:hAnsiTheme="minorEastAsia" w:eastAsiaTheme="minorEastAsia"/>
          <w:sz w:val="24"/>
          <w:szCs w:val="18"/>
        </w:rPr>
        <w:t>为拒绝采购进口产品</w:t>
      </w:r>
      <w:r>
        <w:rPr>
          <w:rFonts w:hint="eastAsia" w:asciiTheme="minorEastAsia" w:hAnsiTheme="minorEastAsia" w:eastAsiaTheme="minorEastAsia"/>
          <w:sz w:val="24"/>
          <w:szCs w:val="18"/>
        </w:rPr>
        <w:t>。</w:t>
      </w:r>
    </w:p>
    <w:p w14:paraId="46CC8D66">
      <w:pPr>
        <w:spacing w:line="360" w:lineRule="auto"/>
        <w:ind w:firstLine="435"/>
        <w:rPr>
          <w:rFonts w:ascii="宋体" w:hAnsi="宋体" w:eastAsia="宋体"/>
          <w:sz w:val="24"/>
          <w:szCs w:val="18"/>
        </w:rPr>
      </w:pPr>
      <w:r>
        <w:rPr>
          <w:rFonts w:hint="eastAsia" w:ascii="宋体" w:hAnsi="宋体" w:eastAsia="宋体"/>
          <w:sz w:val="24"/>
          <w:szCs w:val="18"/>
        </w:rPr>
        <w:t>2.下列采购需求中：</w:t>
      </w:r>
    </w:p>
    <w:p w14:paraId="5878BB22">
      <w:pPr>
        <w:spacing w:line="360" w:lineRule="auto"/>
        <w:ind w:firstLine="240" w:firstLineChars="100"/>
        <w:rPr>
          <w:rFonts w:hint="eastAsia" w:ascii="宋体" w:hAnsi="宋体" w:eastAsia="宋体" w:cs="宋体"/>
          <w:sz w:val="24"/>
          <w:szCs w:val="24"/>
          <w:lang w:eastAsia="zh-CN"/>
        </w:rPr>
      </w:pPr>
      <w:r>
        <w:rPr>
          <w:rFonts w:ascii="宋体" w:hAnsi="宋体" w:eastAsia="宋体" w:cs="宋体"/>
          <w:sz w:val="24"/>
          <w:szCs w:val="24"/>
        </w:rPr>
        <w:t>（1）如属于《节能产品政府采购品目清单》中政府强制采购的节能产品，则</w:t>
      </w:r>
      <w:r>
        <w:rPr>
          <w:rFonts w:hint="eastAsia" w:ascii="宋体" w:hAnsi="宋体" w:eastAsia="宋体" w:cs="宋体"/>
          <w:sz w:val="24"/>
          <w:szCs w:val="24"/>
        </w:rPr>
        <w:t>供应商</w:t>
      </w:r>
      <w:r>
        <w:rPr>
          <w:rFonts w:ascii="宋体" w:hAnsi="宋体" w:eastAsia="宋体" w:cs="宋体"/>
          <w:sz w:val="24"/>
          <w:szCs w:val="24"/>
        </w:rPr>
        <w:t>所投产品须具有市场监管总局公布的《参与实施政府采购节能产品认证机构目录》中的认证机构出具的、处于有效期内的节能产品认证证书。</w:t>
      </w:r>
    </w:p>
    <w:p w14:paraId="0C4182E4">
      <w:pPr>
        <w:spacing w:line="360" w:lineRule="auto"/>
        <w:ind w:firstLine="240" w:firstLineChars="100"/>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（2）如涉及商品包装和快递包装，</w:t>
      </w:r>
      <w:r>
        <w:rPr>
          <w:rFonts w:hint="eastAsia" w:ascii="宋体" w:hAnsi="宋体" w:eastAsia="宋体" w:cs="宋体"/>
          <w:sz w:val="24"/>
          <w:szCs w:val="24"/>
        </w:rPr>
        <w:t>供应商</w:t>
      </w:r>
      <w:r>
        <w:rPr>
          <w:rFonts w:ascii="宋体" w:hAnsi="宋体" w:eastAsia="宋体" w:cs="宋体"/>
          <w:sz w:val="24"/>
          <w:szCs w:val="24"/>
        </w:rPr>
        <w:t>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32641884">
      <w:pPr>
        <w:spacing w:line="360" w:lineRule="auto"/>
        <w:ind w:firstLine="480" w:firstLineChars="200"/>
        <w:rPr>
          <w:rFonts w:asciiTheme="minorEastAsia" w:hAnsiTheme="minorEastAsia" w:eastAsiaTheme="minorEastAsia"/>
          <w:sz w:val="24"/>
          <w:szCs w:val="18"/>
        </w:rPr>
      </w:pPr>
      <w:r>
        <w:rPr>
          <w:rFonts w:hint="eastAsia" w:asciiTheme="minorEastAsia" w:hAnsiTheme="minorEastAsia" w:eastAsiaTheme="minorEastAsia"/>
          <w:sz w:val="24"/>
          <w:szCs w:val="18"/>
        </w:rPr>
        <w:t>3.</w:t>
      </w:r>
      <w:r>
        <w:rPr>
          <w:rFonts w:asciiTheme="minorEastAsia" w:hAnsiTheme="minorEastAsia" w:eastAsiaTheme="minorEastAsia"/>
          <w:sz w:val="24"/>
          <w:szCs w:val="18"/>
        </w:rPr>
        <w:t>下列采购需求中：标注▲的产品</w:t>
      </w:r>
      <w:r>
        <w:rPr>
          <w:rFonts w:hint="eastAsia" w:asciiTheme="minorEastAsia" w:hAnsiTheme="minorEastAsia" w:eastAsiaTheme="minorEastAsia"/>
          <w:bCs/>
          <w:sz w:val="24"/>
          <w:szCs w:val="18"/>
        </w:rPr>
        <w:t>（核心产品）</w:t>
      </w:r>
      <w:r>
        <w:rPr>
          <w:rFonts w:asciiTheme="minorEastAsia" w:hAnsiTheme="minorEastAsia" w:eastAsiaTheme="minorEastAsia"/>
          <w:sz w:val="24"/>
          <w:szCs w:val="18"/>
        </w:rPr>
        <w:t>，供应商在响应文件《主要</w:t>
      </w:r>
      <w:r>
        <w:rPr>
          <w:rFonts w:hint="eastAsia" w:asciiTheme="minorEastAsia" w:hAnsiTheme="minorEastAsia" w:eastAsiaTheme="minorEastAsia"/>
          <w:sz w:val="24"/>
          <w:szCs w:val="18"/>
        </w:rPr>
        <w:t>成交</w:t>
      </w:r>
      <w:r>
        <w:rPr>
          <w:rFonts w:asciiTheme="minorEastAsia" w:hAnsiTheme="minorEastAsia" w:eastAsiaTheme="minorEastAsia"/>
          <w:sz w:val="24"/>
          <w:szCs w:val="18"/>
        </w:rPr>
        <w:t>标的承诺函》中填写名称、</w:t>
      </w:r>
      <w:r>
        <w:rPr>
          <w:rFonts w:hint="eastAsia" w:asciiTheme="minorEastAsia" w:hAnsiTheme="minorEastAsia" w:eastAsiaTheme="minorEastAsia"/>
          <w:sz w:val="24"/>
          <w:szCs w:val="18"/>
        </w:rPr>
        <w:t>品牌、</w:t>
      </w:r>
      <w:r>
        <w:rPr>
          <w:rFonts w:asciiTheme="minorEastAsia" w:hAnsiTheme="minorEastAsia" w:eastAsiaTheme="minorEastAsia"/>
          <w:sz w:val="24"/>
          <w:szCs w:val="18"/>
        </w:rPr>
        <w:t>规格、型号、数量、单价等信息</w:t>
      </w:r>
      <w:r>
        <w:rPr>
          <w:rFonts w:hint="eastAsia" w:asciiTheme="minorEastAsia" w:hAnsiTheme="minorEastAsia" w:eastAsiaTheme="minorEastAsia"/>
          <w:sz w:val="24"/>
          <w:szCs w:val="18"/>
        </w:rPr>
        <w:t>。</w:t>
      </w:r>
    </w:p>
    <w:p w14:paraId="4506B11F">
      <w:pPr>
        <w:spacing w:line="360" w:lineRule="auto"/>
        <w:ind w:firstLine="435"/>
        <w:rPr>
          <w:rFonts w:ascii="宋体" w:hAnsi="宋体" w:eastAsia="宋体"/>
          <w:sz w:val="24"/>
          <w:szCs w:val="18"/>
        </w:rPr>
      </w:pPr>
      <w:r>
        <w:rPr>
          <w:rFonts w:hint="eastAsia" w:ascii="宋体" w:hAnsi="宋体" w:eastAsia="宋体"/>
          <w:sz w:val="24"/>
          <w:szCs w:val="18"/>
        </w:rPr>
        <w:t>4.</w:t>
      </w:r>
      <w:r>
        <w:rPr>
          <w:rFonts w:hint="eastAsia"/>
        </w:rPr>
        <w:t xml:space="preserve"> </w:t>
      </w:r>
      <w:r>
        <w:rPr>
          <w:rFonts w:hint="eastAsia" w:ascii="宋体" w:hAnsi="宋体" w:eastAsia="宋体"/>
          <w:sz w:val="24"/>
          <w:szCs w:val="18"/>
        </w:rPr>
        <w:t>如采购人允许采用分包方式履行合同的，应当明确可以分包履行的相关内容。</w:t>
      </w:r>
    </w:p>
    <w:p w14:paraId="296EF5C4">
      <w:pPr>
        <w:spacing w:line="360" w:lineRule="auto"/>
        <w:ind w:firstLine="437"/>
        <w:outlineLvl w:val="1"/>
        <w:rPr>
          <w:rFonts w:asciiTheme="minorEastAsia" w:hAnsiTheme="minorEastAsia" w:eastAsiaTheme="minorEastAsia"/>
          <w:b/>
          <w:sz w:val="24"/>
          <w:szCs w:val="18"/>
        </w:rPr>
      </w:pPr>
      <w:r>
        <w:rPr>
          <w:rFonts w:hint="eastAsia" w:asciiTheme="minorEastAsia" w:hAnsiTheme="minorEastAsia" w:eastAsiaTheme="minorEastAsia"/>
          <w:b/>
          <w:sz w:val="24"/>
          <w:szCs w:val="18"/>
        </w:rPr>
        <w:t>一、采购需求前附表</w:t>
      </w:r>
    </w:p>
    <w:tbl>
      <w:tblPr>
        <w:tblStyle w:val="4"/>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4"/>
        <w:gridCol w:w="2032"/>
        <w:gridCol w:w="5372"/>
      </w:tblGrid>
      <w:tr w14:paraId="5ECE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97" w:type="pct"/>
            <w:vAlign w:val="center"/>
          </w:tcPr>
          <w:p w14:paraId="392A7EFB">
            <w:pPr>
              <w:pStyle w:val="6"/>
              <w:pBdr>
                <w:bottom w:val="none" w:color="auto" w:sz="0" w:space="0"/>
              </w:pBdr>
              <w:tabs>
                <w:tab w:val="clear" w:pos="4153"/>
                <w:tab w:val="clear" w:pos="8306"/>
              </w:tabs>
              <w:adjustRightInd/>
              <w:spacing w:line="240" w:lineRule="auto"/>
              <w:textAlignment w:val="auto"/>
              <w:rPr>
                <w:rFonts w:asciiTheme="minorEastAsia" w:hAnsiTheme="minorEastAsia" w:eastAsiaTheme="minorEastAsia"/>
                <w:b/>
                <w:kern w:val="2"/>
              </w:rPr>
            </w:pPr>
            <w:r>
              <w:rPr>
                <w:rFonts w:hint="eastAsia" w:asciiTheme="minorEastAsia" w:hAnsiTheme="minorEastAsia" w:eastAsiaTheme="minorEastAsia"/>
                <w:b/>
                <w:kern w:val="2"/>
              </w:rPr>
              <w:t>序号</w:t>
            </w:r>
          </w:p>
        </w:tc>
        <w:tc>
          <w:tcPr>
            <w:tcW w:w="1208" w:type="pct"/>
            <w:vAlign w:val="center"/>
          </w:tcPr>
          <w:p w14:paraId="1EA83A7B">
            <w:pPr>
              <w:pStyle w:val="7"/>
              <w:widowControl w:val="0"/>
              <w:spacing w:before="0" w:beforeAutospacing="0" w:after="0" w:afterAutospacing="0" w:line="360" w:lineRule="auto"/>
              <w:rPr>
                <w:rFonts w:asciiTheme="minorEastAsia" w:hAnsiTheme="minorEastAsia" w:eastAsiaTheme="minorEastAsia"/>
                <w:bCs w:val="0"/>
                <w:sz w:val="24"/>
              </w:rPr>
            </w:pPr>
            <w:r>
              <w:rPr>
                <w:rFonts w:hint="eastAsia" w:asciiTheme="minorEastAsia" w:hAnsiTheme="minorEastAsia" w:eastAsiaTheme="minorEastAsia"/>
                <w:bCs w:val="0"/>
                <w:sz w:val="24"/>
              </w:rPr>
              <w:t>条款名称</w:t>
            </w:r>
          </w:p>
        </w:tc>
        <w:tc>
          <w:tcPr>
            <w:tcW w:w="3194" w:type="pct"/>
            <w:vAlign w:val="center"/>
          </w:tcPr>
          <w:p w14:paraId="6CEF84C8">
            <w:pPr>
              <w:pStyle w:val="7"/>
              <w:widowControl w:val="0"/>
              <w:spacing w:before="0" w:beforeAutospacing="0" w:after="0" w:afterAutospacing="0" w:line="360" w:lineRule="auto"/>
              <w:rPr>
                <w:rFonts w:asciiTheme="minorEastAsia" w:hAnsiTheme="minorEastAsia" w:eastAsiaTheme="minorEastAsia"/>
                <w:bCs w:val="0"/>
                <w:sz w:val="24"/>
              </w:rPr>
            </w:pPr>
            <w:r>
              <w:rPr>
                <w:rFonts w:hint="eastAsia" w:asciiTheme="minorEastAsia" w:hAnsiTheme="minorEastAsia" w:eastAsiaTheme="minorEastAsia"/>
                <w:bCs w:val="0"/>
                <w:sz w:val="24"/>
              </w:rPr>
              <w:t>内容、说明与要求</w:t>
            </w:r>
          </w:p>
        </w:tc>
      </w:tr>
      <w:tr w14:paraId="4C04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597" w:type="pct"/>
            <w:vAlign w:val="center"/>
          </w:tcPr>
          <w:p w14:paraId="62D46D0B">
            <w:pPr>
              <w:pStyle w:val="6"/>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kern w:val="2"/>
              </w:rPr>
            </w:pPr>
            <w:r>
              <w:rPr>
                <w:rFonts w:hint="eastAsia" w:asciiTheme="minorEastAsia" w:hAnsiTheme="minorEastAsia" w:eastAsiaTheme="minorEastAsia"/>
                <w:bCs/>
                <w:kern w:val="2"/>
              </w:rPr>
              <w:t>1</w:t>
            </w:r>
          </w:p>
        </w:tc>
        <w:tc>
          <w:tcPr>
            <w:tcW w:w="1208" w:type="pct"/>
            <w:vAlign w:val="center"/>
          </w:tcPr>
          <w:p w14:paraId="63838293">
            <w:pPr>
              <w:pStyle w:val="7"/>
              <w:widowControl w:val="0"/>
              <w:spacing w:before="0" w:beforeAutospacing="0" w:after="0" w:afterAutospacing="0" w:line="360" w:lineRule="auto"/>
              <w:rPr>
                <w:rFonts w:asciiTheme="minorEastAsia" w:hAnsiTheme="minorEastAsia" w:eastAsiaTheme="minorEastAsia"/>
                <w:b w:val="0"/>
                <w:sz w:val="24"/>
              </w:rPr>
            </w:pPr>
            <w:r>
              <w:rPr>
                <w:rFonts w:hint="eastAsia" w:asciiTheme="minorEastAsia" w:hAnsiTheme="minorEastAsia" w:eastAsiaTheme="minorEastAsia"/>
                <w:b w:val="0"/>
                <w:sz w:val="24"/>
              </w:rPr>
              <w:t>付款方式</w:t>
            </w:r>
          </w:p>
        </w:tc>
        <w:tc>
          <w:tcPr>
            <w:tcW w:w="3194" w:type="pct"/>
            <w:vAlign w:val="center"/>
          </w:tcPr>
          <w:p w14:paraId="2BD8338B">
            <w:pPr>
              <w:pStyle w:val="7"/>
              <w:widowControl w:val="0"/>
              <w:spacing w:before="0" w:beforeAutospacing="0" w:after="0" w:afterAutospacing="0" w:line="360" w:lineRule="auto"/>
              <w:jc w:val="both"/>
              <w:rPr>
                <w:rFonts w:hint="eastAsia" w:asciiTheme="minorEastAsia" w:hAnsiTheme="minorEastAsia" w:eastAsiaTheme="minorEastAsia"/>
                <w:b w:val="0"/>
                <w:sz w:val="24"/>
                <w:highlight w:val="yellow"/>
                <w:u w:val="none"/>
                <w:lang w:val="en-US" w:eastAsia="zh-CN"/>
              </w:rPr>
            </w:pPr>
            <w:r>
              <w:rPr>
                <w:rFonts w:hint="eastAsia" w:asciiTheme="minorEastAsia" w:hAnsiTheme="minorEastAsia" w:eastAsiaTheme="minorEastAsia"/>
                <w:b w:val="0"/>
                <w:sz w:val="24"/>
                <w:highlight w:val="none"/>
                <w:u w:val="none"/>
                <w:lang w:val="en-US" w:eastAsia="zh-CN"/>
              </w:rPr>
              <w:t>合同内软件系统安装上线后，乙方提出申请，采购人向乙方支付合同总价款的30%；项目验收通过后，乙方出具项目验收报告并提出申请，采购人向乙方支付总价款的65%；三年免费维护期结束，乙方提出申请，采购人向乙方支付总价款的5%。</w:t>
            </w:r>
          </w:p>
        </w:tc>
      </w:tr>
      <w:tr w14:paraId="0C5FB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pct"/>
            <w:vAlign w:val="center"/>
          </w:tcPr>
          <w:p w14:paraId="015E318D">
            <w:pPr>
              <w:pStyle w:val="6"/>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kern w:val="2"/>
              </w:rPr>
            </w:pPr>
            <w:r>
              <w:rPr>
                <w:rFonts w:hint="eastAsia" w:asciiTheme="minorEastAsia" w:hAnsiTheme="minorEastAsia" w:eastAsiaTheme="minorEastAsia"/>
                <w:bCs/>
                <w:kern w:val="2"/>
              </w:rPr>
              <w:t>2</w:t>
            </w:r>
          </w:p>
        </w:tc>
        <w:tc>
          <w:tcPr>
            <w:tcW w:w="1208" w:type="pct"/>
            <w:vAlign w:val="center"/>
          </w:tcPr>
          <w:p w14:paraId="754B7DD0">
            <w:pPr>
              <w:pStyle w:val="7"/>
              <w:widowControl w:val="0"/>
              <w:spacing w:before="0" w:beforeAutospacing="0" w:after="0" w:afterAutospacing="0" w:line="360" w:lineRule="auto"/>
              <w:rPr>
                <w:rFonts w:asciiTheme="minorEastAsia" w:hAnsiTheme="minorEastAsia" w:eastAsiaTheme="minorEastAsia"/>
                <w:b w:val="0"/>
                <w:sz w:val="24"/>
              </w:rPr>
            </w:pPr>
            <w:r>
              <w:rPr>
                <w:rFonts w:hint="eastAsia" w:asciiTheme="minorEastAsia" w:hAnsiTheme="minorEastAsia" w:eastAsiaTheme="minorEastAsia"/>
                <w:b w:val="0"/>
                <w:sz w:val="24"/>
              </w:rPr>
              <w:t>供货及安装地点</w:t>
            </w:r>
          </w:p>
        </w:tc>
        <w:tc>
          <w:tcPr>
            <w:tcW w:w="3194" w:type="pct"/>
            <w:vAlign w:val="center"/>
          </w:tcPr>
          <w:p w14:paraId="2C1BA544">
            <w:pPr>
              <w:pStyle w:val="7"/>
              <w:widowControl w:val="0"/>
              <w:spacing w:before="0" w:beforeAutospacing="0" w:after="0" w:afterAutospacing="0" w:line="360" w:lineRule="auto"/>
              <w:jc w:val="both"/>
              <w:rPr>
                <w:rFonts w:asciiTheme="minorEastAsia" w:hAnsiTheme="minorEastAsia" w:eastAsiaTheme="minorEastAsia"/>
                <w:b w:val="0"/>
                <w:sz w:val="24"/>
              </w:rPr>
            </w:pPr>
            <w:r>
              <w:rPr>
                <w:rFonts w:hint="eastAsia" w:asciiTheme="minorEastAsia" w:hAnsiTheme="minorEastAsia" w:eastAsiaTheme="minorEastAsia"/>
                <w:b w:val="0"/>
                <w:sz w:val="24"/>
                <w:u w:val="none"/>
              </w:rPr>
              <w:t>采购人指定地点。</w:t>
            </w:r>
          </w:p>
        </w:tc>
      </w:tr>
      <w:tr w14:paraId="7F64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7" w:type="pct"/>
            <w:vAlign w:val="center"/>
          </w:tcPr>
          <w:p w14:paraId="14F3F03C">
            <w:pPr>
              <w:pStyle w:val="6"/>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kern w:val="2"/>
              </w:rPr>
            </w:pPr>
            <w:r>
              <w:rPr>
                <w:rFonts w:hint="eastAsia" w:asciiTheme="minorEastAsia" w:hAnsiTheme="minorEastAsia" w:eastAsiaTheme="minorEastAsia"/>
                <w:bCs/>
                <w:kern w:val="2"/>
              </w:rPr>
              <w:t>3</w:t>
            </w:r>
          </w:p>
        </w:tc>
        <w:tc>
          <w:tcPr>
            <w:tcW w:w="1208" w:type="pct"/>
            <w:vAlign w:val="center"/>
          </w:tcPr>
          <w:p w14:paraId="0FF09419">
            <w:pPr>
              <w:pStyle w:val="7"/>
              <w:widowControl w:val="0"/>
              <w:spacing w:before="0" w:beforeAutospacing="0" w:after="0" w:afterAutospacing="0" w:line="360" w:lineRule="auto"/>
              <w:rPr>
                <w:rFonts w:asciiTheme="minorEastAsia" w:hAnsiTheme="minorEastAsia" w:eastAsiaTheme="minorEastAsia"/>
                <w:b w:val="0"/>
                <w:sz w:val="24"/>
              </w:rPr>
            </w:pPr>
            <w:r>
              <w:rPr>
                <w:rFonts w:hint="eastAsia" w:asciiTheme="minorEastAsia" w:hAnsiTheme="minorEastAsia" w:eastAsiaTheme="minorEastAsia"/>
                <w:b w:val="0"/>
                <w:sz w:val="24"/>
              </w:rPr>
              <w:t>供货及安装期限</w:t>
            </w:r>
          </w:p>
        </w:tc>
        <w:tc>
          <w:tcPr>
            <w:tcW w:w="3194" w:type="pct"/>
            <w:vAlign w:val="center"/>
          </w:tcPr>
          <w:p w14:paraId="5DBE7542">
            <w:pPr>
              <w:pStyle w:val="7"/>
              <w:widowControl w:val="0"/>
              <w:spacing w:before="0" w:beforeAutospacing="0" w:after="0" w:afterAutospacing="0" w:line="360" w:lineRule="auto"/>
              <w:jc w:val="both"/>
              <w:rPr>
                <w:rFonts w:hint="default" w:asciiTheme="minorEastAsia" w:hAnsiTheme="minorEastAsia" w:eastAsiaTheme="minorEastAsia"/>
                <w:b w:val="0"/>
                <w:sz w:val="24"/>
                <w:lang w:val="en-US" w:eastAsia="zh-CN"/>
              </w:rPr>
            </w:pPr>
            <w:r>
              <w:rPr>
                <w:rFonts w:hint="eastAsia" w:asciiTheme="minorEastAsia" w:hAnsiTheme="minorEastAsia" w:eastAsiaTheme="minorEastAsia"/>
                <w:b w:val="0"/>
                <w:sz w:val="24"/>
                <w:lang w:val="en-US" w:eastAsia="zh-CN"/>
              </w:rPr>
              <w:t>自</w:t>
            </w:r>
            <w:r>
              <w:rPr>
                <w:rFonts w:hint="eastAsia" w:asciiTheme="minorEastAsia" w:hAnsiTheme="minorEastAsia" w:eastAsiaTheme="minorEastAsia"/>
                <w:b w:val="0"/>
                <w:sz w:val="24"/>
              </w:rPr>
              <w:t>合同签订后60天内完成安装调试</w:t>
            </w:r>
            <w:r>
              <w:rPr>
                <w:rFonts w:hint="eastAsia" w:asciiTheme="minorEastAsia" w:hAnsiTheme="minorEastAsia" w:eastAsiaTheme="minorEastAsia"/>
                <w:b w:val="0"/>
                <w:sz w:val="24"/>
                <w:lang w:val="en-US" w:eastAsia="zh-CN"/>
              </w:rPr>
              <w:t>。</w:t>
            </w:r>
          </w:p>
        </w:tc>
      </w:tr>
      <w:tr w14:paraId="2CD2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7" w:type="pct"/>
            <w:vAlign w:val="center"/>
          </w:tcPr>
          <w:p w14:paraId="26FB7751">
            <w:pPr>
              <w:pStyle w:val="6"/>
              <w:pBdr>
                <w:bottom w:val="none" w:color="auto" w:sz="0" w:space="0"/>
              </w:pBdr>
              <w:tabs>
                <w:tab w:val="clear" w:pos="4153"/>
                <w:tab w:val="clear" w:pos="8306"/>
              </w:tabs>
              <w:adjustRightInd/>
              <w:spacing w:line="240" w:lineRule="auto"/>
              <w:textAlignment w:val="auto"/>
              <w:rPr>
                <w:rFonts w:asciiTheme="minorEastAsia" w:hAnsiTheme="minorEastAsia" w:eastAsiaTheme="minorEastAsia"/>
                <w:bCs/>
                <w:kern w:val="2"/>
              </w:rPr>
            </w:pPr>
            <w:r>
              <w:rPr>
                <w:rFonts w:hint="eastAsia" w:asciiTheme="minorEastAsia" w:hAnsiTheme="minorEastAsia" w:eastAsiaTheme="minorEastAsia"/>
                <w:bCs/>
                <w:kern w:val="2"/>
              </w:rPr>
              <w:t>4</w:t>
            </w:r>
          </w:p>
        </w:tc>
        <w:tc>
          <w:tcPr>
            <w:tcW w:w="1208" w:type="pct"/>
            <w:vAlign w:val="center"/>
          </w:tcPr>
          <w:p w14:paraId="27BF3E0E">
            <w:pPr>
              <w:pStyle w:val="7"/>
              <w:widowControl w:val="0"/>
              <w:spacing w:before="0" w:beforeAutospacing="0" w:after="0" w:afterAutospacing="0" w:line="360" w:lineRule="auto"/>
              <w:rPr>
                <w:rFonts w:asciiTheme="minorEastAsia" w:hAnsiTheme="minorEastAsia" w:eastAsiaTheme="minorEastAsia"/>
                <w:b w:val="0"/>
                <w:sz w:val="24"/>
              </w:rPr>
            </w:pPr>
            <w:r>
              <w:rPr>
                <w:rFonts w:hint="eastAsia" w:asciiTheme="minorEastAsia" w:hAnsiTheme="minorEastAsia" w:eastAsiaTheme="minorEastAsia"/>
                <w:b w:val="0"/>
                <w:sz w:val="24"/>
              </w:rPr>
              <w:t>免费</w:t>
            </w:r>
            <w:r>
              <w:rPr>
                <w:rFonts w:hint="eastAsia" w:asciiTheme="minorEastAsia" w:hAnsiTheme="minorEastAsia" w:eastAsiaTheme="minorEastAsia"/>
                <w:b w:val="0"/>
                <w:sz w:val="24"/>
                <w:lang w:val="en-US" w:eastAsia="zh-CN"/>
              </w:rPr>
              <w:t>质保</w:t>
            </w:r>
            <w:r>
              <w:rPr>
                <w:rFonts w:hint="eastAsia" w:asciiTheme="minorEastAsia" w:hAnsiTheme="minorEastAsia" w:eastAsiaTheme="minorEastAsia"/>
                <w:b w:val="0"/>
                <w:sz w:val="24"/>
              </w:rPr>
              <w:t>期</w:t>
            </w:r>
          </w:p>
        </w:tc>
        <w:tc>
          <w:tcPr>
            <w:tcW w:w="3194" w:type="pct"/>
            <w:vAlign w:val="center"/>
          </w:tcPr>
          <w:p w14:paraId="52262A43">
            <w:pPr>
              <w:pStyle w:val="7"/>
              <w:widowControl w:val="0"/>
              <w:spacing w:before="0" w:beforeAutospacing="0" w:after="0" w:afterAutospacing="0" w:line="360" w:lineRule="auto"/>
              <w:jc w:val="both"/>
              <w:rPr>
                <w:rFonts w:hint="default" w:asciiTheme="minorEastAsia" w:hAnsiTheme="minorEastAsia" w:eastAsiaTheme="minorEastAsia"/>
                <w:b w:val="0"/>
                <w:sz w:val="24"/>
                <w:lang w:val="en-US" w:eastAsia="zh-CN"/>
              </w:rPr>
            </w:pPr>
            <w:r>
              <w:rPr>
                <w:rFonts w:hint="eastAsia" w:asciiTheme="minorEastAsia" w:hAnsiTheme="minorEastAsia" w:eastAsiaTheme="minorEastAsia"/>
                <w:b w:val="0"/>
                <w:sz w:val="24"/>
                <w:lang w:val="en-US" w:eastAsia="zh-CN"/>
              </w:rPr>
              <w:t>3年</w:t>
            </w:r>
          </w:p>
        </w:tc>
      </w:tr>
    </w:tbl>
    <w:p w14:paraId="40305A27">
      <w:pPr>
        <w:numPr>
          <w:ilvl w:val="0"/>
          <w:numId w:val="0"/>
        </w:numPr>
        <w:spacing w:line="360" w:lineRule="auto"/>
        <w:outlineLvl w:val="1"/>
        <w:rPr>
          <w:rFonts w:hint="eastAsia" w:asciiTheme="minorEastAsia" w:hAnsiTheme="minorEastAsia" w:eastAsiaTheme="minorEastAsia"/>
          <w:b/>
          <w:bCs/>
          <w:sz w:val="24"/>
          <w:szCs w:val="18"/>
        </w:rPr>
      </w:pPr>
    </w:p>
    <w:p w14:paraId="2D2C83CC">
      <w:pPr>
        <w:numPr>
          <w:ilvl w:val="0"/>
          <w:numId w:val="1"/>
        </w:numPr>
        <w:spacing w:line="360" w:lineRule="auto"/>
        <w:ind w:firstLine="482" w:firstLineChars="200"/>
        <w:outlineLvl w:val="1"/>
        <w:rPr>
          <w:rFonts w:hint="eastAsia" w:asciiTheme="minorEastAsia" w:hAnsiTheme="minorEastAsia" w:eastAsiaTheme="minorEastAsia"/>
          <w:b/>
          <w:bCs/>
          <w:sz w:val="24"/>
          <w:szCs w:val="18"/>
        </w:rPr>
      </w:pPr>
      <w:r>
        <w:rPr>
          <w:rFonts w:hint="eastAsia" w:asciiTheme="minorEastAsia" w:hAnsiTheme="minorEastAsia" w:eastAsiaTheme="minorEastAsia"/>
          <w:b/>
          <w:bCs/>
          <w:sz w:val="24"/>
          <w:szCs w:val="18"/>
        </w:rPr>
        <w:t>货物需求</w:t>
      </w:r>
    </w:p>
    <w:tbl>
      <w:tblPr>
        <w:tblStyle w:val="4"/>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2187"/>
        <w:gridCol w:w="2474"/>
        <w:gridCol w:w="1322"/>
        <w:gridCol w:w="1551"/>
      </w:tblGrid>
      <w:tr w14:paraId="0B8D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535" w:type="pct"/>
            <w:vAlign w:val="center"/>
          </w:tcPr>
          <w:p w14:paraId="1CF6D257">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296" w:type="pct"/>
            <w:vAlign w:val="center"/>
          </w:tcPr>
          <w:p w14:paraId="44DD8F0A">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1466" w:type="pct"/>
            <w:vAlign w:val="center"/>
          </w:tcPr>
          <w:p w14:paraId="5177D92A">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技术参数及</w:t>
            </w:r>
          </w:p>
          <w:p w14:paraId="12822CE5">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要求</w:t>
            </w:r>
          </w:p>
        </w:tc>
        <w:tc>
          <w:tcPr>
            <w:tcW w:w="783" w:type="pct"/>
            <w:vAlign w:val="center"/>
          </w:tcPr>
          <w:p w14:paraId="4CAEE313">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数量</w:t>
            </w:r>
          </w:p>
          <w:p w14:paraId="168C83B9">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919" w:type="pct"/>
            <w:vAlign w:val="center"/>
          </w:tcPr>
          <w:p w14:paraId="756A015C">
            <w:pPr>
              <w:spacing w:line="360" w:lineRule="auto"/>
              <w:jc w:val="cente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预算金额</w:t>
            </w:r>
          </w:p>
          <w:p w14:paraId="6B8147E6">
            <w:pPr>
              <w:spacing w:line="360" w:lineRule="auto"/>
              <w:jc w:val="cente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（万元）</w:t>
            </w:r>
          </w:p>
        </w:tc>
      </w:tr>
      <w:tr w14:paraId="1949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535" w:type="pct"/>
            <w:vAlign w:val="center"/>
          </w:tcPr>
          <w:p w14:paraId="773CFD64">
            <w:pPr>
              <w:spacing w:line="360" w:lineRule="auto"/>
              <w:jc w:val="center"/>
              <w:rPr>
                <w:rFonts w:hint="eastAsia" w:ascii="宋体" w:hAnsi="宋体" w:eastAsia="宋体" w:cs="宋体"/>
                <w:sz w:val="24"/>
                <w:szCs w:val="18"/>
              </w:rPr>
            </w:pPr>
            <w:r>
              <w:rPr>
                <w:rFonts w:hint="eastAsia" w:ascii="宋体" w:hAnsi="宋体" w:eastAsia="宋体" w:cs="宋体"/>
                <w:sz w:val="24"/>
                <w:szCs w:val="18"/>
              </w:rPr>
              <w:t>1</w:t>
            </w:r>
          </w:p>
        </w:tc>
        <w:tc>
          <w:tcPr>
            <w:tcW w:w="1296" w:type="pct"/>
            <w:vAlign w:val="center"/>
          </w:tcPr>
          <w:p w14:paraId="01CF452F">
            <w:pPr>
              <w:spacing w:line="360" w:lineRule="auto"/>
              <w:jc w:val="center"/>
              <w:rPr>
                <w:rFonts w:hint="eastAsia" w:ascii="宋体" w:hAnsi="宋体" w:eastAsia="宋体" w:cs="宋体"/>
                <w:b w:val="0"/>
                <w:bCs w:val="0"/>
                <w:sz w:val="24"/>
                <w:szCs w:val="18"/>
              </w:rPr>
            </w:pPr>
            <w:r>
              <w:rPr>
                <w:rFonts w:hint="eastAsia" w:ascii="宋体" w:hAnsi="宋体" w:eastAsia="宋体" w:cs="宋体"/>
                <w:color w:val="auto"/>
                <w:sz w:val="24"/>
              </w:rPr>
              <w:t>▲医保DRG管理平台</w:t>
            </w:r>
          </w:p>
        </w:tc>
        <w:tc>
          <w:tcPr>
            <w:tcW w:w="1466" w:type="pct"/>
            <w:vAlign w:val="center"/>
          </w:tcPr>
          <w:p w14:paraId="029803F7">
            <w:pPr>
              <w:spacing w:line="360" w:lineRule="auto"/>
              <w:jc w:val="center"/>
              <w:rPr>
                <w:rFonts w:hint="eastAsia" w:ascii="宋体" w:hAnsi="宋体" w:eastAsia="宋体" w:cs="宋体"/>
                <w:b w:val="0"/>
                <w:bCs w:val="0"/>
                <w:sz w:val="24"/>
                <w:szCs w:val="18"/>
                <w:lang w:val="en-US" w:eastAsia="zh-CN"/>
              </w:rPr>
            </w:pPr>
            <w:r>
              <w:rPr>
                <w:rFonts w:hint="eastAsia" w:ascii="宋体" w:hAnsi="宋体" w:eastAsia="宋体" w:cs="宋体"/>
                <w:b w:val="0"/>
                <w:bCs w:val="0"/>
                <w:sz w:val="24"/>
                <w:szCs w:val="18"/>
                <w:lang w:val="en-US" w:eastAsia="zh-CN"/>
              </w:rPr>
              <w:t>详见4.3技术参数及要求（系统功能需求）</w:t>
            </w:r>
          </w:p>
        </w:tc>
        <w:tc>
          <w:tcPr>
            <w:tcW w:w="783" w:type="pct"/>
            <w:vAlign w:val="center"/>
          </w:tcPr>
          <w:p w14:paraId="5F7CF59D">
            <w:pPr>
              <w:spacing w:line="360" w:lineRule="auto"/>
              <w:jc w:val="center"/>
              <w:rPr>
                <w:rFonts w:hint="eastAsia" w:ascii="宋体" w:hAnsi="宋体" w:eastAsia="宋体" w:cs="宋体"/>
                <w:b w:val="0"/>
                <w:bCs w:val="0"/>
                <w:sz w:val="24"/>
                <w:szCs w:val="18"/>
                <w:lang w:val="en-US" w:eastAsia="zh-CN"/>
              </w:rPr>
            </w:pPr>
            <w:r>
              <w:rPr>
                <w:rFonts w:hint="eastAsia" w:ascii="宋体" w:hAnsi="宋体" w:eastAsia="宋体" w:cs="宋体"/>
                <w:b w:val="0"/>
                <w:bCs w:val="0"/>
                <w:sz w:val="24"/>
                <w:szCs w:val="18"/>
                <w:lang w:val="en-US" w:eastAsia="zh-CN"/>
              </w:rPr>
              <w:t>1套</w:t>
            </w:r>
          </w:p>
        </w:tc>
        <w:tc>
          <w:tcPr>
            <w:tcW w:w="919" w:type="pct"/>
            <w:vAlign w:val="center"/>
          </w:tcPr>
          <w:p w14:paraId="5F44590E">
            <w:pPr>
              <w:spacing w:line="360" w:lineRule="auto"/>
              <w:jc w:val="center"/>
              <w:rPr>
                <w:rFonts w:hint="default" w:ascii="宋体" w:hAnsi="宋体" w:eastAsia="宋体" w:cs="宋体"/>
                <w:b w:val="0"/>
                <w:bCs w:val="0"/>
                <w:sz w:val="24"/>
                <w:szCs w:val="18"/>
                <w:lang w:val="en-US" w:eastAsia="zh-CN"/>
              </w:rPr>
            </w:pPr>
            <w:r>
              <w:rPr>
                <w:rFonts w:hint="eastAsia" w:ascii="宋体" w:hAnsi="宋体" w:eastAsia="宋体" w:cs="宋体"/>
                <w:b w:val="0"/>
                <w:bCs w:val="0"/>
                <w:sz w:val="24"/>
                <w:szCs w:val="18"/>
                <w:lang w:val="en-US" w:eastAsia="zh-CN"/>
              </w:rPr>
              <w:t>50万元</w:t>
            </w:r>
          </w:p>
        </w:tc>
      </w:tr>
    </w:tbl>
    <w:p w14:paraId="3E750AE4">
      <w:pPr>
        <w:spacing w:line="360" w:lineRule="auto"/>
        <w:ind w:firstLine="480" w:firstLineChars="200"/>
        <w:outlineLvl w:val="1"/>
        <w:rPr>
          <w:rFonts w:hint="eastAsia" w:asciiTheme="minorEastAsia" w:hAnsiTheme="minorEastAsia" w:eastAsiaTheme="minorEastAsia"/>
          <w:b w:val="0"/>
          <w:bCs w:val="0"/>
          <w:sz w:val="24"/>
          <w:szCs w:val="18"/>
        </w:rPr>
      </w:pPr>
      <w:r>
        <w:rPr>
          <w:rFonts w:hint="eastAsia" w:asciiTheme="minorEastAsia" w:hAnsiTheme="minorEastAsia" w:eastAsiaTheme="minorEastAsia"/>
          <w:b w:val="0"/>
          <w:bCs w:val="0"/>
          <w:sz w:val="24"/>
          <w:szCs w:val="18"/>
        </w:rPr>
        <w:t>包括所有货物的供货、包装运输（包括卸车及就位至采购人指定的安装地点）、安装、调试、技术服务、培训、售后服务等所有内容。</w:t>
      </w:r>
    </w:p>
    <w:p w14:paraId="2AE29C17">
      <w:pPr>
        <w:pStyle w:val="8"/>
        <w:rPr>
          <w:rFonts w:hint="eastAsia"/>
        </w:rPr>
      </w:pPr>
    </w:p>
    <w:p w14:paraId="29D5CACD">
      <w:pPr>
        <w:spacing w:line="360" w:lineRule="auto"/>
        <w:ind w:firstLine="482" w:firstLineChars="200"/>
        <w:outlineLvl w:val="1"/>
        <w:rPr>
          <w:rFonts w:asciiTheme="minorEastAsia" w:hAnsiTheme="minorEastAsia" w:eastAsiaTheme="minorEastAsia"/>
          <w:b/>
          <w:bCs/>
          <w:sz w:val="24"/>
          <w:szCs w:val="18"/>
        </w:rPr>
      </w:pPr>
      <w:r>
        <w:rPr>
          <w:rFonts w:hint="eastAsia" w:asciiTheme="minorEastAsia" w:hAnsiTheme="minorEastAsia" w:eastAsiaTheme="minorEastAsia"/>
          <w:b/>
          <w:bCs/>
          <w:sz w:val="24"/>
          <w:szCs w:val="18"/>
        </w:rPr>
        <w:t>三、报价要求</w:t>
      </w:r>
    </w:p>
    <w:p w14:paraId="6F2C35D2">
      <w:pPr>
        <w:spacing w:line="360" w:lineRule="auto"/>
        <w:ind w:firstLine="480" w:firstLineChars="200"/>
        <w:rPr>
          <w:rFonts w:hint="eastAsia" w:asciiTheme="minorEastAsia" w:hAnsiTheme="minorEastAsia" w:eastAsiaTheme="minorEastAsia"/>
          <w:bCs/>
          <w:sz w:val="24"/>
          <w:szCs w:val="18"/>
        </w:rPr>
      </w:pPr>
      <w:r>
        <w:rPr>
          <w:rFonts w:hint="eastAsia" w:asciiTheme="minorEastAsia" w:hAnsiTheme="minorEastAsia" w:eastAsiaTheme="minorEastAsia"/>
          <w:bCs/>
          <w:sz w:val="24"/>
          <w:szCs w:val="18"/>
        </w:rPr>
        <w:t>本项目报总价及投标分项报价，报价包含完成本项目所需的全部费用（含第三方接口费、一切税费、安装调试等伴随服务费），中标后采购人不再另行追加任何费用，请投标人自行考虑报价风险。</w:t>
      </w:r>
    </w:p>
    <w:p w14:paraId="0B262534">
      <w:pPr>
        <w:pStyle w:val="8"/>
      </w:pPr>
    </w:p>
    <w:p w14:paraId="19381231">
      <w:pPr>
        <w:spacing w:line="360" w:lineRule="auto"/>
        <w:ind w:firstLine="482" w:firstLineChars="200"/>
        <w:outlineLvl w:val="1"/>
        <w:rPr>
          <w:rFonts w:asciiTheme="minorEastAsia" w:hAnsiTheme="minorEastAsia" w:eastAsiaTheme="minorEastAsia"/>
          <w:b/>
          <w:bCs/>
          <w:sz w:val="24"/>
          <w:szCs w:val="18"/>
        </w:rPr>
      </w:pPr>
      <w:r>
        <w:rPr>
          <w:rFonts w:hint="eastAsia" w:asciiTheme="minorEastAsia" w:hAnsiTheme="minorEastAsia" w:eastAsiaTheme="minorEastAsia"/>
          <w:b/>
          <w:bCs/>
          <w:sz w:val="24"/>
          <w:szCs w:val="18"/>
        </w:rPr>
        <w:t>四、其他要求</w:t>
      </w:r>
    </w:p>
    <w:p w14:paraId="7598601E">
      <w:pPr>
        <w:spacing w:line="360" w:lineRule="auto"/>
        <w:ind w:firstLine="482" w:firstLineChars="200"/>
        <w:rPr>
          <w:rFonts w:hint="eastAsia" w:asciiTheme="minorEastAsia" w:hAnsiTheme="minorEastAsia" w:eastAsiaTheme="minorEastAsia"/>
          <w:b/>
          <w:bCs w:val="0"/>
          <w:sz w:val="24"/>
          <w:szCs w:val="18"/>
          <w:lang w:val="en-US" w:eastAsia="zh-CN"/>
        </w:rPr>
      </w:pPr>
      <w:r>
        <w:rPr>
          <w:rFonts w:hint="eastAsia" w:asciiTheme="minorEastAsia" w:hAnsiTheme="minorEastAsia" w:eastAsiaTheme="minorEastAsia"/>
          <w:b/>
          <w:bCs w:val="0"/>
          <w:sz w:val="24"/>
          <w:szCs w:val="18"/>
          <w:lang w:val="en-US" w:eastAsia="zh-CN"/>
        </w:rPr>
        <w:t>4.1建设目标</w:t>
      </w:r>
    </w:p>
    <w:p w14:paraId="65115B32">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根据国家和安徽省的医保支付方式改革，及当地卫生信息化建设相关的政策和文件精神要求，并结合医院的现状情况，本项目建设需完成以下建设目标：</w:t>
      </w:r>
    </w:p>
    <w:p w14:paraId="6906327F">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1）通过DRGs数据治理服务的建模处理将临床医生使用的疾病诊断和手术操作诊断转化为医保DRGs支付政策所要求的ICD-10和ICD-9-CM3，以减少病案室人工纠错率，提升医保费用获取率。</w:t>
      </w:r>
    </w:p>
    <w:p w14:paraId="0E54662A">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2）可根据当地统筹区医保局返回的医保支付数据模拟分组器，在临床治疗过程中“事前提醒”，做到有效自身控制，避免事后（病人出院以及整个诊疗过程完成以后）来不及补救的现象，减少医院的事实性损失。</w:t>
      </w:r>
    </w:p>
    <w:p w14:paraId="75F1E68E">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3）实现病案首页诊断、编码等内容的自动校对功能。</w:t>
      </w:r>
    </w:p>
    <w:p w14:paraId="7372CBD4">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4）对病种入组率、完成率、平均住院费用、平均住院日等指标进行自动分析。</w:t>
      </w:r>
    </w:p>
    <w:p w14:paraId="21429736">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5）在保障医疗质量的前提下，有效降低医疗成本，实现医院付费方式改革的信息化，给DRGs的推广提供有力支撑。</w:t>
      </w:r>
    </w:p>
    <w:p w14:paraId="0B1208F1">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6）为管理决策层提供经营决策的辅助依据，实现对医院运营情况及时监控，提前预判，从而优化资源配置，有效提高医务工作者的工作效率，提升医院整体经济效益。</w:t>
      </w:r>
    </w:p>
    <w:p w14:paraId="6E1BC2B9">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7）提供医保结算校对功能（即：对医保局反馈回医院的每月的DRGs结算单数据进行核对），帮助医院医保部门减轻人工工作量，减少因为申诉不及时导致医院造成无谓损失的现象。</w:t>
      </w:r>
    </w:p>
    <w:p w14:paraId="6CFE5F32">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8）在清单生成环节增加独立保存功能，真正区分病案首页和医保结算清单，以满足不同的管理和上报要求。</w:t>
      </w:r>
    </w:p>
    <w:p w14:paraId="7E0A2253">
      <w:pPr>
        <w:spacing w:line="360" w:lineRule="auto"/>
        <w:ind w:firstLine="482" w:firstLineChars="200"/>
        <w:rPr>
          <w:rFonts w:hint="eastAsia" w:asciiTheme="minorEastAsia" w:hAnsiTheme="minorEastAsia" w:eastAsiaTheme="minorEastAsia"/>
          <w:b/>
          <w:bCs w:val="0"/>
          <w:sz w:val="24"/>
          <w:szCs w:val="18"/>
          <w:lang w:val="en-US" w:eastAsia="zh-CN"/>
        </w:rPr>
      </w:pPr>
      <w:r>
        <w:rPr>
          <w:rFonts w:hint="eastAsia" w:asciiTheme="minorEastAsia" w:hAnsiTheme="minorEastAsia" w:eastAsiaTheme="minorEastAsia"/>
          <w:b/>
          <w:bCs w:val="0"/>
          <w:sz w:val="24"/>
          <w:szCs w:val="18"/>
          <w:lang w:val="en-US" w:eastAsia="zh-CN"/>
        </w:rPr>
        <w:t>4.2总体技术需求</w:t>
      </w:r>
    </w:p>
    <w:p w14:paraId="3DBB9ED6">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本次项目为软件产品采购项目，硬件、网络、安全等都利用现有医院资源，不另行采购。总体技术需求如下：</w:t>
      </w:r>
    </w:p>
    <w:p w14:paraId="4C75D642">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1）采用多层架构的B/S结构，应用展示端建议采用HTML5技术，必须支持跨平台的应用展示；</w:t>
      </w:r>
    </w:p>
    <w:p w14:paraId="15B09871">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2）考虑到平台将来的可扩展性，平台必须是开放式的：展示页面可视化配置，灵活增加；具有数据集，且数据集可自定义配置；</w:t>
      </w:r>
    </w:p>
    <w:p w14:paraId="6FB36F3F">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3）要有数据展现引擎，可以根据医院需求灵活地配置相关管理指标的呈现；</w:t>
      </w:r>
    </w:p>
    <w:p w14:paraId="3F17C993">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4）系统透明支持ORACLE数据库系统，主流大型数据库；</w:t>
      </w:r>
    </w:p>
    <w:p w14:paraId="76060D6B">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支持主流厂商的硬件及操作系统平台；</w:t>
      </w:r>
    </w:p>
    <w:p w14:paraId="7DDDEC04">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支持Unix、Linux 、Windows操作系统，支持C/S/S或B/S/S的体系结构；</w:t>
      </w:r>
    </w:p>
    <w:p w14:paraId="11EA7448">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支持关系模型，支持分布式处理；</w:t>
      </w:r>
    </w:p>
    <w:p w14:paraId="020577EB">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支持主流的网络协议（TCP/IP、IPX/SPX、NETBIOS及混合协议等）；</w:t>
      </w:r>
    </w:p>
    <w:p w14:paraId="3036BAE0">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5）须提供配套的ETL工具、数据订阅工具、消息引擎、规则库、报表工具、数据共享引擎等一系列应用工具，可确保各种临床和管理应用效果的配置扩展实现。</w:t>
      </w:r>
    </w:p>
    <w:p w14:paraId="30B6B8B3">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6）DRGs数据中心从HIS、电子病历等医院业务系统接入数据时，为不影响当前业务系统的正常运行，也不增加接口改造的风险及费用，推荐采用CDC技术方案（只要能达到准确、高效的数据采集，也可以允许其他技术方案），支持ESB接入；</w:t>
      </w:r>
    </w:p>
    <w:p w14:paraId="5A4C0700">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7）要求有独立的DRGs数据中心的数据模型,要求不能直接引用当前业务系统模型或消息模型。要通过ETL技术对原始业务数据进行抽取、转换、清洗并转存到CDR数据模型中，形成集中存储的DRGs数据集；</w:t>
      </w:r>
    </w:p>
    <w:p w14:paraId="6B291122">
      <w:pPr>
        <w:spacing w:line="360" w:lineRule="auto"/>
        <w:ind w:firstLine="482" w:firstLineChars="200"/>
        <w:rPr>
          <w:rFonts w:hint="eastAsia" w:asciiTheme="minorEastAsia" w:hAnsiTheme="minorEastAsia" w:eastAsiaTheme="minorEastAsia"/>
          <w:b/>
          <w:bCs w:val="0"/>
          <w:sz w:val="24"/>
          <w:szCs w:val="18"/>
          <w:lang w:eastAsia="zh-CN"/>
        </w:rPr>
      </w:pPr>
      <w:r>
        <w:rPr>
          <w:rFonts w:hint="eastAsia" w:asciiTheme="minorEastAsia" w:hAnsiTheme="minorEastAsia" w:eastAsiaTheme="minorEastAsia"/>
          <w:b/>
          <w:bCs w:val="0"/>
          <w:sz w:val="24"/>
          <w:szCs w:val="18"/>
          <w:lang w:val="en-US" w:eastAsia="zh-CN"/>
        </w:rPr>
        <w:t>4.3</w:t>
      </w:r>
      <w:r>
        <w:rPr>
          <w:rFonts w:hint="eastAsia" w:asciiTheme="minorEastAsia" w:hAnsiTheme="minorEastAsia" w:eastAsiaTheme="minorEastAsia"/>
          <w:b/>
          <w:bCs w:val="0"/>
          <w:sz w:val="24"/>
          <w:szCs w:val="18"/>
        </w:rPr>
        <w:t>技术</w:t>
      </w:r>
      <w:r>
        <w:rPr>
          <w:rFonts w:hint="eastAsia" w:asciiTheme="minorEastAsia" w:hAnsiTheme="minorEastAsia" w:eastAsiaTheme="minorEastAsia"/>
          <w:b/>
          <w:bCs w:val="0"/>
          <w:sz w:val="24"/>
          <w:szCs w:val="18"/>
          <w:lang w:val="en-US" w:eastAsia="zh-CN"/>
        </w:rPr>
        <w:t>参数及</w:t>
      </w:r>
      <w:r>
        <w:rPr>
          <w:rFonts w:hint="eastAsia" w:asciiTheme="minorEastAsia" w:hAnsiTheme="minorEastAsia" w:eastAsiaTheme="minorEastAsia"/>
          <w:b/>
          <w:bCs w:val="0"/>
          <w:sz w:val="24"/>
          <w:szCs w:val="18"/>
        </w:rPr>
        <w:t>要求</w:t>
      </w:r>
      <w:r>
        <w:rPr>
          <w:rFonts w:hint="eastAsia" w:asciiTheme="minorEastAsia" w:hAnsiTheme="minorEastAsia" w:eastAsiaTheme="minorEastAsia"/>
          <w:b/>
          <w:bCs w:val="0"/>
          <w:sz w:val="24"/>
          <w:szCs w:val="18"/>
          <w:lang w:eastAsia="zh-CN"/>
        </w:rPr>
        <w:t>（系统功能需求）</w:t>
      </w:r>
    </w:p>
    <w:p w14:paraId="46B75461">
      <w:pPr>
        <w:pStyle w:val="2"/>
        <w:spacing w:line="240" w:lineRule="auto"/>
        <w:ind w:firstLine="482" w:firstLineChars="200"/>
        <w:rPr>
          <w:rFonts w:hint="eastAsia" w:ascii="宋体" w:hAnsi="宋体" w:eastAsia="宋体" w:cs="宋体"/>
          <w:b/>
          <w:bCs w:val="0"/>
          <w:sz w:val="24"/>
          <w:szCs w:val="24"/>
          <w:lang w:val="en-US" w:eastAsia="zh-CN"/>
        </w:rPr>
      </w:pPr>
      <w:bookmarkStart w:id="0" w:name="_Toc31002"/>
      <w:r>
        <w:rPr>
          <w:rFonts w:hint="eastAsia" w:ascii="宋体" w:hAnsi="宋体" w:eastAsia="宋体" w:cs="宋体"/>
          <w:b/>
          <w:bCs w:val="0"/>
          <w:sz w:val="24"/>
          <w:szCs w:val="24"/>
          <w:lang w:val="en-US" w:eastAsia="zh-CN"/>
        </w:rPr>
        <w:t>4.3.1 DRG数据中心</w:t>
      </w:r>
      <w:bookmarkEnd w:id="0"/>
    </w:p>
    <w:tbl>
      <w:tblPr>
        <w:tblStyle w:val="4"/>
        <w:tblW w:w="7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6511"/>
      </w:tblGrid>
      <w:tr w14:paraId="58E1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0A57AD00">
            <w:pPr>
              <w:spacing w:line="276" w:lineRule="auto"/>
              <w:jc w:val="center"/>
              <w:rPr>
                <w:rFonts w:hint="eastAsia" w:ascii="宋体" w:hAnsi="宋体" w:eastAsia="宋体" w:cs="宋体"/>
                <w:b/>
                <w:bCs/>
                <w:kern w:val="0"/>
                <w:szCs w:val="24"/>
                <w:highlight w:val="none"/>
              </w:rPr>
            </w:pPr>
            <w:r>
              <w:rPr>
                <w:rFonts w:hint="eastAsia" w:ascii="宋体" w:hAnsi="宋体" w:eastAsia="宋体" w:cs="宋体"/>
                <w:b/>
                <w:bCs/>
                <w:kern w:val="0"/>
                <w:szCs w:val="24"/>
                <w:highlight w:val="none"/>
              </w:rPr>
              <w:t>功能点</w:t>
            </w:r>
          </w:p>
        </w:tc>
        <w:tc>
          <w:tcPr>
            <w:tcW w:w="6511" w:type="dxa"/>
            <w:shd w:val="clear" w:color="auto" w:fill="auto"/>
            <w:vAlign w:val="center"/>
          </w:tcPr>
          <w:p w14:paraId="26A5FCF6">
            <w:pPr>
              <w:spacing w:line="276" w:lineRule="auto"/>
              <w:jc w:val="center"/>
              <w:rPr>
                <w:rFonts w:hint="eastAsia" w:ascii="宋体" w:hAnsi="宋体" w:eastAsia="宋体" w:cs="宋体"/>
                <w:b/>
                <w:bCs/>
                <w:kern w:val="0"/>
                <w:szCs w:val="24"/>
                <w:highlight w:val="none"/>
              </w:rPr>
            </w:pPr>
            <w:r>
              <w:rPr>
                <w:rFonts w:hint="eastAsia" w:ascii="宋体" w:hAnsi="宋体" w:eastAsia="宋体" w:cs="宋体"/>
                <w:b/>
                <w:bCs/>
                <w:kern w:val="0"/>
                <w:szCs w:val="24"/>
                <w:highlight w:val="none"/>
              </w:rPr>
              <w:t>参数描述</w:t>
            </w:r>
          </w:p>
        </w:tc>
      </w:tr>
      <w:tr w14:paraId="23AF7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2AA8EB12">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对各种异构数据源类型通过可视化的方式配置接入</w:t>
            </w:r>
          </w:p>
        </w:tc>
        <w:tc>
          <w:tcPr>
            <w:tcW w:w="6511" w:type="dxa"/>
            <w:shd w:val="clear" w:color="auto" w:fill="auto"/>
            <w:vAlign w:val="center"/>
          </w:tcPr>
          <w:p w14:paraId="3C7431F5">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1.支持多种数据源接入包含Oracle、SqlServer、MySql、GP,Cache，支持Oracle集群模式接入；</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2.支持DB接入和WebService接入方式；</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3.DB接入全程可视化配置，只需要简单勾选需要同步的表即可完成数据接入任务的创建；</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4.支持表创建、注释、主键一键式同步；</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5.支持对数据源的全量同步和增量同步；</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6.支持WebService接入增量全量同步方式；</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7.支持对XML、XML&lt;Json&gt;解析，支持属性提取；</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8.支持按单个病人、时间区间获取数据，支持自定义请求头、请求体；</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9.支持发布接入数据接入方式（通过WebService主动推送数据）；</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10.支持文件格式的数据同步，根据文件信息自动创建实体表。</w:t>
            </w:r>
          </w:p>
        </w:tc>
      </w:tr>
      <w:tr w14:paraId="68E8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364618FE">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实现工作流自助开发，并支持对工作流的导入导出</w:t>
            </w:r>
          </w:p>
        </w:tc>
        <w:tc>
          <w:tcPr>
            <w:tcW w:w="6511" w:type="dxa"/>
            <w:shd w:val="clear" w:color="auto" w:fill="auto"/>
            <w:vAlign w:val="center"/>
          </w:tcPr>
          <w:p w14:paraId="1B92D79D">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1.同时支持数据接入和数据模型项目的定义；</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2.图形化操作通过拖拉、连接的方式即可完成工作流的定义；</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3.支持丰富的组件库包含SQL、Spark、Python、Http节点组件，底层基于大数据组件完成同步任务；</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4.支持多任务同时执行不小于5个；</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5.在800M内存限制的条件下同步速度在每秒钟1万条以上；</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6.支持异常任务报警短信提醒（医院提供短信猫支持）；</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7.支持可视化自定义任务执行频率配置；</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8.支持预览最近任务执行时间；</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9.支持任务通知策略自定义；</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10.支持工作流任务的导入导出；</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11.支持任务重试；</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12.支持任务日志实时查看；</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13.支持任务失败自动重试。</w:t>
            </w:r>
          </w:p>
        </w:tc>
      </w:tr>
      <w:tr w14:paraId="72169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084D80D9">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文件管理</w:t>
            </w:r>
          </w:p>
        </w:tc>
        <w:tc>
          <w:tcPr>
            <w:tcW w:w="6511" w:type="dxa"/>
            <w:shd w:val="clear" w:color="auto" w:fill="auto"/>
            <w:vAlign w:val="center"/>
          </w:tcPr>
          <w:p w14:paraId="11D9498B">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1.支持对任务资源信息查看；</w:t>
            </w:r>
          </w:p>
        </w:tc>
      </w:tr>
      <w:tr w14:paraId="1EB7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651F6169">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对各资源服务进行监控和管理，并进行常规方式的统计</w:t>
            </w:r>
          </w:p>
        </w:tc>
        <w:tc>
          <w:tcPr>
            <w:tcW w:w="6511" w:type="dxa"/>
            <w:shd w:val="clear" w:color="auto" w:fill="auto"/>
            <w:vAlign w:val="center"/>
          </w:tcPr>
          <w:p w14:paraId="16DE4CDA">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1.支持系统连接池使用情况统计并展示；</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2.支持监控数据中心的内存和CPU使用情况；</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3.支持对所使用的的中间件如zookeeper服务的连接数、发送接收量等相关指标监控；</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4.支持对数据库健康状态，连接数的监控；</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5.支持对任务执行情况包含待执行的命令数、执行失败的命令数、待运行任务数、待杀死任务数统计并展示；</w:t>
            </w:r>
          </w:p>
        </w:tc>
      </w:tr>
      <w:tr w14:paraId="1452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2E328A95">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监控配置</w:t>
            </w:r>
          </w:p>
        </w:tc>
        <w:tc>
          <w:tcPr>
            <w:tcW w:w="6511" w:type="dxa"/>
            <w:shd w:val="clear" w:color="auto" w:fill="auto"/>
            <w:vAlign w:val="center"/>
          </w:tcPr>
          <w:p w14:paraId="2DBFC2D8">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1.支持对监控规则自定义定时时间；</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2.支持监控结果短信发送（医院提供短信猫支持）；</w:t>
            </w:r>
          </w:p>
        </w:tc>
      </w:tr>
      <w:tr w14:paraId="753E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00" w:type="dxa"/>
            <w:shd w:val="clear" w:color="auto" w:fill="auto"/>
            <w:vAlign w:val="center"/>
          </w:tcPr>
          <w:p w14:paraId="6CAC8F62">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数据稽核</w:t>
            </w:r>
          </w:p>
        </w:tc>
        <w:tc>
          <w:tcPr>
            <w:tcW w:w="6511" w:type="dxa"/>
            <w:shd w:val="clear" w:color="auto" w:fill="auto"/>
            <w:vAlign w:val="center"/>
          </w:tcPr>
          <w:p w14:paraId="29FD14ED">
            <w:pPr>
              <w:spacing w:line="276" w:lineRule="auto"/>
              <w:jc w:val="left"/>
              <w:rPr>
                <w:rFonts w:hint="eastAsia" w:ascii="宋体" w:hAnsi="宋体" w:eastAsia="宋体" w:cs="宋体"/>
                <w:kern w:val="0"/>
                <w:szCs w:val="24"/>
                <w:highlight w:val="none"/>
              </w:rPr>
            </w:pPr>
            <w:r>
              <w:rPr>
                <w:rFonts w:hint="eastAsia" w:ascii="宋体" w:hAnsi="宋体" w:eastAsia="宋体" w:cs="宋体"/>
                <w:kern w:val="0"/>
                <w:szCs w:val="24"/>
                <w:highlight w:val="none"/>
              </w:rPr>
              <w:t>1.支持对表数据进行自定义监控；</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2.支持模板规则的配置；</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3.支持规则的批量导出导出；</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4.支持规则自定义时间执行；</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5.支持质量报告实时生成；</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6.支持质检分数实时查询；</w:t>
            </w:r>
            <w:r>
              <w:rPr>
                <w:rFonts w:hint="eastAsia" w:ascii="宋体" w:hAnsi="宋体" w:eastAsia="宋体" w:cs="宋体"/>
                <w:kern w:val="0"/>
                <w:szCs w:val="24"/>
                <w:highlight w:val="none"/>
              </w:rPr>
              <w:br w:type="textWrapping"/>
            </w:r>
            <w:r>
              <w:rPr>
                <w:rFonts w:hint="eastAsia" w:ascii="宋体" w:hAnsi="宋体" w:eastAsia="宋体" w:cs="宋体"/>
                <w:kern w:val="0"/>
                <w:szCs w:val="24"/>
                <w:highlight w:val="none"/>
              </w:rPr>
              <w:t>7.支持自定义稽核异常说明；</w:t>
            </w:r>
          </w:p>
        </w:tc>
      </w:tr>
    </w:tbl>
    <w:p w14:paraId="0CB4B169">
      <w:pPr>
        <w:pStyle w:val="2"/>
        <w:spacing w:line="240" w:lineRule="auto"/>
        <w:ind w:firstLine="482" w:firstLineChars="200"/>
        <w:rPr>
          <w:rFonts w:hint="eastAsia" w:ascii="宋体" w:hAnsi="宋体" w:eastAsia="宋体" w:cs="宋体"/>
          <w:b/>
          <w:bCs w:val="0"/>
          <w:sz w:val="24"/>
          <w:szCs w:val="24"/>
          <w:lang w:val="en-US" w:eastAsia="zh-CN"/>
        </w:rPr>
      </w:pPr>
      <w:bookmarkStart w:id="1" w:name="_Toc20402"/>
      <w:r>
        <w:rPr>
          <w:rFonts w:hint="eastAsia" w:ascii="宋体" w:hAnsi="宋体" w:eastAsia="宋体" w:cs="宋体"/>
          <w:b/>
          <w:bCs w:val="0"/>
          <w:sz w:val="24"/>
          <w:szCs w:val="24"/>
          <w:lang w:val="en-US" w:eastAsia="zh-CN"/>
        </w:rPr>
        <w:t>4.3.2 DRG运营分析系统</w:t>
      </w:r>
      <w:bookmarkEnd w:id="1"/>
    </w:p>
    <w:tbl>
      <w:tblPr>
        <w:tblStyle w:val="4"/>
        <w:tblW w:w="7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7"/>
        <w:gridCol w:w="6650"/>
      </w:tblGrid>
      <w:tr w14:paraId="0C49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342709DB">
            <w:pPr>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功能点</w:t>
            </w:r>
          </w:p>
        </w:tc>
        <w:tc>
          <w:tcPr>
            <w:tcW w:w="6650" w:type="dxa"/>
            <w:shd w:val="clear" w:color="auto" w:fill="auto"/>
            <w:vAlign w:val="center"/>
          </w:tcPr>
          <w:p w14:paraId="158CB294">
            <w:pPr>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详细参数</w:t>
            </w:r>
          </w:p>
        </w:tc>
      </w:tr>
      <w:tr w14:paraId="0D0A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74A0D84">
            <w:pPr>
              <w:spacing w:line="276"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事前</w:t>
            </w:r>
            <w:r>
              <w:rPr>
                <w:rFonts w:hint="eastAsia" w:ascii="宋体" w:hAnsi="宋体" w:eastAsia="宋体" w:cs="宋体"/>
                <w:kern w:val="0"/>
                <w:szCs w:val="21"/>
                <w:highlight w:val="none"/>
              </w:rPr>
              <w:t>在院DRG分组监测接口</w:t>
            </w:r>
          </w:p>
        </w:tc>
        <w:tc>
          <w:tcPr>
            <w:tcW w:w="6650" w:type="dxa"/>
            <w:shd w:val="clear" w:color="auto" w:fill="auto"/>
            <w:vAlign w:val="center"/>
          </w:tcPr>
          <w:p w14:paraId="4FF3655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1)提供全院病例DRG分组预测与预警信息，包括费用异常预警、病历质控预警、不合理入院预警，预警条件支持自定义设置；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2)提供病例当前实时DRG预测分组信息，以及住院费用进度条，直观了解费用消耗情况；</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3)支持查看患者基本信息、诊断、手术，以及历史住院的DRG分组与诊断/手术信息；</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4)支持在院期间查看各个费用结构及费用标杆值，并能下钻查看各费用项目明细，包括药品、耗材、检查检验等；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5)支持大数据模拟分组，通过调整主诊断、次诊断、主手术、次手术进行模拟分组，对中医分组支持主病主症模拟分组；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6)支持病例按多种结算方式进行预测对比，包括病组结算、中医结算，并优先展示结算金额最高的结算方式；</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7)支持输入主诊断后，智能推荐相匹配的常用手术；</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8)</w:t>
            </w:r>
            <w:r>
              <w:rPr>
                <w:rFonts w:hint="eastAsia" w:ascii="宋体" w:hAnsi="宋体" w:eastAsia="宋体" w:cs="宋体"/>
                <w:szCs w:val="21"/>
                <w:highlight w:val="none"/>
              </w:rPr>
              <w:t xml:space="preserve"> </w:t>
            </w:r>
            <w:r>
              <w:rPr>
                <w:rFonts w:hint="eastAsia" w:ascii="宋体" w:hAnsi="宋体" w:eastAsia="宋体" w:cs="宋体"/>
                <w:kern w:val="0"/>
                <w:szCs w:val="21"/>
                <w:highlight w:val="none"/>
              </w:rPr>
              <w:t>支持按照地区医保结算规则进行适配，包括新技术、特殊药品耗材追加、基础病组同病同价等。</w:t>
            </w:r>
          </w:p>
        </w:tc>
      </w:tr>
      <w:tr w14:paraId="3FBE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005A163A">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在院监测</w:t>
            </w:r>
          </w:p>
        </w:tc>
        <w:tc>
          <w:tcPr>
            <w:tcW w:w="6650" w:type="dxa"/>
            <w:shd w:val="clear" w:color="auto" w:fill="auto"/>
            <w:vAlign w:val="center"/>
          </w:tcPr>
          <w:p w14:paraId="6CAEE18D">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[病例范围：当前在院患者]</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1)提供全院病例DRG分组预测与预警信息，包括费用异常预警、病历质控预警、不合理入院预警，预警条件支持自定义设置；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2)提供病例当前实时DRG预测分组信息，以及住院费用进度条，直观了解费用消耗情况；</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3)支持查看患者基本信息、诊断、手术，以及历史住院的DRG分组与诊断/手术信息；</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4)支持在院期间查看各个费用结构及费用标杆值，并能下钻查看各费用项目明细，包括药品、耗材、检查检验等；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5)支持多种筛选条件查找数据：包括结算方式、病例类型（费用极高、费用极低、正常病例等）、医保类型等；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6)支持筛选特殊病例：包括15天再入院、基础病组、中途出院结算、住院天数超高、24小时出入院、新技术病例等；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7)支持按姓名、住院号、患者ID、床位号等搜索病例；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8)支持从科室、医疗组、病区、医生等维度查看预警病例；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9)列表字段支持用户自定义显示与排列，包含表头字段是否显示以及固定列设置，支持列表所有数据下载；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10)</w:t>
            </w:r>
            <w:r>
              <w:rPr>
                <w:rFonts w:hint="eastAsia" w:ascii="宋体" w:hAnsi="宋体" w:eastAsia="宋体" w:cs="宋体"/>
                <w:szCs w:val="21"/>
                <w:highlight w:val="none"/>
              </w:rPr>
              <w:t xml:space="preserve"> </w:t>
            </w:r>
            <w:r>
              <w:rPr>
                <w:rFonts w:hint="eastAsia" w:ascii="宋体" w:hAnsi="宋体" w:eastAsia="宋体" w:cs="宋体"/>
                <w:kern w:val="0"/>
                <w:szCs w:val="21"/>
                <w:highlight w:val="none"/>
              </w:rPr>
              <w:t>支持大数据模拟分组，通过调整主诊断、次诊断、主手术、次手术进行模拟分组，对中医分组支持主病主症模拟分组；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11)支持病例按多种结算方式进行预测对比，包括病组结算、中医结算，并优先展示结算金额最高的结算方式；</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12)支持按照地区医保结算规则进行适配，包括新技术、特殊药品耗材追加、基础病组同病同价等。</w:t>
            </w:r>
          </w:p>
        </w:tc>
      </w:tr>
      <w:tr w14:paraId="0B65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3B16AF9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提交前病例监测</w:t>
            </w:r>
          </w:p>
        </w:tc>
        <w:tc>
          <w:tcPr>
            <w:tcW w:w="6650" w:type="dxa"/>
            <w:shd w:val="clear" w:color="auto" w:fill="auto"/>
            <w:vAlign w:val="center"/>
          </w:tcPr>
          <w:p w14:paraId="1A9CA4F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[病例范围：出院但未将病历提交病案室归档的病例]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1)提供全院病例DRG分组预测与预警信息，包括费用异常预警、病历质控预警、不合理入院预警，预警条件支持自定义设置；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2)提供病例当前实时DRG预测分组信息，以及住院费用进度条，直观了解费用消耗情况；</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3)支持查看患者基本信息、诊断、手术，以及历史住院的DRG分组与诊断/手术信息；</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4)支持在院期间查看各个费用结构及费用标杆值，并能下钻查看各费用项目明细，包括药品、耗材、检查检验等；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5)支持多种筛选条件查找数据：包括结算方式、病例类型（费用极高、费用极低、正常病例等）、医保类型等；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6)支持筛选特殊病例：包括15天再入院、基础病组、中途出院结算、住院天数超高、24小时出入院、新技术病例等；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7)支持按姓名、住院号、患者ID、床位号等搜索病例；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8)支持从科室、医疗组、病区、医生等维度查看预警病例；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9)列表字段支持用户自定义显示与排列，包含表头字段是否显示以及固定列设置，支持列表所有数据下载；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10)支持大数据模拟分组，通过调整主诊断、次诊断、主手术、次手术进行模拟分组，对中医分组支持主病主症模拟分组；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11)</w:t>
            </w:r>
            <w:r>
              <w:rPr>
                <w:rFonts w:hint="eastAsia" w:ascii="宋体" w:hAnsi="宋体" w:eastAsia="宋体" w:cs="宋体"/>
                <w:szCs w:val="21"/>
                <w:highlight w:val="none"/>
              </w:rPr>
              <w:t xml:space="preserve"> </w:t>
            </w:r>
            <w:r>
              <w:rPr>
                <w:rFonts w:hint="eastAsia" w:ascii="宋体" w:hAnsi="宋体" w:eastAsia="宋体" w:cs="宋体"/>
                <w:kern w:val="0"/>
                <w:szCs w:val="21"/>
                <w:highlight w:val="none"/>
              </w:rPr>
              <w:t>支持病例按多种结算方式进行预测对比，包括病组结算、中医结算，并优先展示结算金额最高的结算方式；</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12)支持按照地区医保结算规则进行适配，包括新技术、特殊药品耗材追加、基础病组同病同价等。</w:t>
            </w:r>
          </w:p>
        </w:tc>
      </w:tr>
      <w:tr w14:paraId="622C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208510F4">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已提交病例分析</w:t>
            </w:r>
          </w:p>
        </w:tc>
        <w:tc>
          <w:tcPr>
            <w:tcW w:w="6650" w:type="dxa"/>
            <w:shd w:val="clear" w:color="auto" w:fill="auto"/>
            <w:vAlign w:val="center"/>
          </w:tcPr>
          <w:p w14:paraId="05DB26B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[病例范围：出院已提交病案归档，但未与医保局结算的病例]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1)支持对比查看临床与病案编码后病例的诊断、手术、DRG分组数据，并对不一致数据进行颜色标记；</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2)支持多种筛选条件查找数据：包括结算方式、病例类型（费用极高、费用极低、正常病例等）、医保类型等；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3)支持筛选特殊病例：包括15天再入院、基础病组、中途出院结算、住院天数超高、24小时出入院、新技术病例等；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4)支持按姓名、住院号、患者ID、床位号等搜索病例；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5)列表字段支持用户自定义显示与排列，包含表头字段是否显示以及固定列设置，支持列表所有数据下载；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6)支持大数据模拟分组，通过调整主诊断、次诊断、主手术、次手术进行模拟分组，对中医分组支持主病主症模拟分组；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7)支持病例按多种结算方式进行预测对比，包括病组结算、中医结算，并优先展示结算金额最高的结算方式。</w:t>
            </w:r>
          </w:p>
        </w:tc>
      </w:tr>
      <w:tr w14:paraId="3F3FA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8A6850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医院DRG整体情况</w:t>
            </w:r>
          </w:p>
        </w:tc>
        <w:tc>
          <w:tcPr>
            <w:tcW w:w="6650" w:type="dxa"/>
            <w:shd w:val="clear" w:color="auto" w:fill="auto"/>
            <w:vAlign w:val="center"/>
          </w:tcPr>
          <w:p w14:paraId="6164B644">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展示筛选时间段内全院病例数、总结余、CMI、病组数等DRG核心数据，所有统计图均支持放大和下载。</w:t>
            </w:r>
          </w:p>
        </w:tc>
      </w:tr>
      <w:tr w14:paraId="6E06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21FF0E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全院超支结余分析</w:t>
            </w:r>
          </w:p>
        </w:tc>
        <w:tc>
          <w:tcPr>
            <w:tcW w:w="6650" w:type="dxa"/>
            <w:shd w:val="clear" w:color="auto" w:fill="auto"/>
            <w:vAlign w:val="center"/>
          </w:tcPr>
          <w:p w14:paraId="7B1B389A">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展示筛选时间段内的超支结余趋势、超支结余科室分布、病例类型分布、费用极高极低病例占比趋势，支持下钻。</w:t>
            </w:r>
          </w:p>
        </w:tc>
      </w:tr>
      <w:tr w14:paraId="226E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3FB26D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全院费用构成分析</w:t>
            </w:r>
          </w:p>
        </w:tc>
        <w:tc>
          <w:tcPr>
            <w:tcW w:w="6650" w:type="dxa"/>
            <w:shd w:val="clear" w:color="auto" w:fill="auto"/>
            <w:vAlign w:val="center"/>
          </w:tcPr>
          <w:p w14:paraId="474EA37D">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展示筛选时间段内各费用类型的金额及占比、药占比、耗占比、检查检验占比、医疗服务占比趋势，支持按病例类型选择统计范围。</w:t>
            </w:r>
          </w:p>
        </w:tc>
      </w:tr>
      <w:tr w14:paraId="71C7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CCD4912">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全院资源使用效率分析</w:t>
            </w:r>
          </w:p>
        </w:tc>
        <w:tc>
          <w:tcPr>
            <w:tcW w:w="6650" w:type="dxa"/>
            <w:shd w:val="clear" w:color="auto" w:fill="auto"/>
            <w:vAlign w:val="center"/>
          </w:tcPr>
          <w:p w14:paraId="2F544303">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展示筛选时间段内次均费用、次均付费权重与平均住院日趋势，支持与去年同期比较。</w:t>
            </w:r>
          </w:p>
        </w:tc>
      </w:tr>
      <w:tr w14:paraId="3EC7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6E45137">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全院病组构成分析</w:t>
            </w:r>
          </w:p>
        </w:tc>
        <w:tc>
          <w:tcPr>
            <w:tcW w:w="6650" w:type="dxa"/>
            <w:shd w:val="clear" w:color="auto" w:fill="auto"/>
            <w:vAlign w:val="center"/>
          </w:tcPr>
          <w:p w14:paraId="062782C1">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展示筛选时间段内CMI趋势，各RW区间病组分布情况，RW区间支持自定义调整和下钻。</w:t>
            </w:r>
          </w:p>
        </w:tc>
      </w:tr>
      <w:tr w14:paraId="3E57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6F0DBDA9">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科室对比分析</w:t>
            </w:r>
          </w:p>
        </w:tc>
        <w:tc>
          <w:tcPr>
            <w:tcW w:w="6650" w:type="dxa"/>
            <w:shd w:val="clear" w:color="auto" w:fill="auto"/>
            <w:vAlign w:val="center"/>
          </w:tcPr>
          <w:p w14:paraId="6D618A27">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1)展示科室病例数、结余、病组数、CMI、入组率、药耗占比等相关指标数据对比，支持数据下钻；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2)提供按主题进行分析，包括运行指标监控、超支结余、费用构成、出院带药、不合理入院五大主题；</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3)支持年/季/月筛选和自定义时间区间、病例范围、超支/结余科室筛选；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4)支持根据不同用户设置重点关注科室，并能够快速筛选和查看重点科室数据；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5)支持运行目标与标杆数据对比，其中标杆数据根据历史数据自动生成，支持自定义修改标杆值，支持快速筛选超标科室；</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6)支持二级科室管理，可以按照出院科室、管理科室分布查看和统计数据；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7)列表字段支持用户自定义显示与排列，包含表头字段是否显示以及固定列设置，支持查看指标同比，列表数据下载。</w:t>
            </w:r>
          </w:p>
        </w:tc>
      </w:tr>
      <w:tr w14:paraId="6A55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84DBDB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科室主页（科室下钻分析）</w:t>
            </w:r>
          </w:p>
        </w:tc>
        <w:tc>
          <w:tcPr>
            <w:tcW w:w="6650" w:type="dxa"/>
            <w:shd w:val="clear" w:color="auto" w:fill="auto"/>
            <w:vAlign w:val="center"/>
          </w:tcPr>
          <w:p w14:paraId="3DDCBBB9">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[单科室下DRG运营数据统计分析]</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1)总览：支持科室多选，展示科室所选时间段内DRG核心数据概览，包含病例数、CMI、结余、药耗占比、人头人次比、N天再入院、病组构成、平均住院日等；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2)超支结余分析：展示科室超支结余/次均结余趋势、超支结余病组分布及趋势、超支结余病例分布及趋势、病例类型分布、费用极高极低病例占比趋势；支持下钻；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3)费用构成分析：展示科室在各个费用类型的金额及占比，药耗占比趋势，支持按病例类型选择统计范围；</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4)病组构成分析：通过矩阵象限，分析科室优势病组、劣势病组；支持数据对比与下钻，对不同象限的病组提供分析结论；</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5)资源使用效率分析：展示科室平均住院日趋势、次均费用趋势、时间消耗指数、费用消耗指数，支持与去年次均费用对比；</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6)病历质量分析：展示质控前后分组不一致病例数趋势、付费权重差趋势、结余差趋势；</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7)病组列表：同科室下不同病组DRG运营数据对比，支持下载；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8)医疗组列表：同科室下不同医疗组DRG运营数据对比，支持下载；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9)医生列表：同科室下不同医生DRG运营数据对比，支持下载；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10)病例列表：展示科室所选时间段内所有病例数据，支持按医疗组、病组、医生筛选、查看病例详情、模拟分组，支持表格数据下载。</w:t>
            </w:r>
          </w:p>
        </w:tc>
      </w:tr>
      <w:tr w14:paraId="2F5C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6AD5504F">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病组对比分析</w:t>
            </w:r>
          </w:p>
        </w:tc>
        <w:tc>
          <w:tcPr>
            <w:tcW w:w="6650" w:type="dxa"/>
            <w:shd w:val="clear" w:color="auto" w:fill="auto"/>
            <w:vAlign w:val="center"/>
          </w:tcPr>
          <w:p w14:paraId="3EC09D6A">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1)展示各DRG病组病例数、结余、RW、药耗占比、时间消耗指数、费用消耗指数等相关指标数据对比，支持下钻；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2)支持按主题进行分析，包括运行指标监控、超支结余、费用构成、RW区间分布，其中RW区间支持自定义设置；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3)支持年/季/月筛选和自定义时间区间、病例范围、超支/结余科室筛选；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4)支持运行目标与标杆数据对比，其中标杆数据根据历史数据自动生成，支持自定义修改标杆值，支持快速筛选超标病组；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5)列表字段支持用户自定义显示与排列，包含表头字段是否显示以及固定列设置，支持查看指标同比，列表数据下载；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6)支持根据不同用户设置重点关注病组，并能够快速筛选和查看重点病组数据。</w:t>
            </w:r>
          </w:p>
        </w:tc>
      </w:tr>
      <w:tr w14:paraId="4863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CDCF0DE">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病组主页（病组下钻分析）</w:t>
            </w:r>
          </w:p>
        </w:tc>
        <w:tc>
          <w:tcPr>
            <w:tcW w:w="6650" w:type="dxa"/>
            <w:shd w:val="clear" w:color="auto" w:fill="auto"/>
            <w:vAlign w:val="center"/>
          </w:tcPr>
          <w:p w14:paraId="2028C91C">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[单病组下DRG运营数据统计分析]</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1)总览：支持病组多选，展示病组在所选时间段内DRG核心数据概览，包含总病例数、RW、结余、药耗占比、病组构成、平均住院日等；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2)超支结余分析：展示病组超支结余/次均结余趋势、超支结余病例分布及趋势、病例类型分布、费用极高极低病例占比趋势；支持下钻；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3)费用构成分析：展示病组各个费用类型的金额、占比及超支影响率，药耗占比趋势，支持按病例类型选择统计范围；</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4)资源使用效率分析：展示病组平均住院日趋势、次均费用趋势、时间消耗指数、费用消耗指数；</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5)科室列表：同病组下不同科室DRG运营数据对比，支持下载；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6)医疗组列表：同病组下不同医疗组DRG运营数据对比，支持下载；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7)病例列表：所选病组所选时间段内所有病例数据，支持筛选、查看病例详情、模拟分组、下载。</w:t>
            </w:r>
          </w:p>
        </w:tc>
      </w:tr>
      <w:tr w14:paraId="0A3F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71B8E6E4">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医疗组对比分析</w:t>
            </w:r>
          </w:p>
        </w:tc>
        <w:tc>
          <w:tcPr>
            <w:tcW w:w="6650" w:type="dxa"/>
            <w:shd w:val="clear" w:color="auto" w:fill="auto"/>
            <w:vAlign w:val="center"/>
          </w:tcPr>
          <w:p w14:paraId="1D45C9CA">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1)展示医疗组病例数、结余、病组数、CMI、入组率、药耗占比等DRG相关指标数据对比，支持数据下钻；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2)支持快捷筛选，包括超支医疗组、结余医疗组、环比结余增加、减少等，支持年/季/月筛选和自定义时间区间、病例范围筛选；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3)支持根据不同用户设置重点关注科室，并能够快速筛选和查看重点科室数据；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4)列表字段支持用户自定义显示与排列，包含表头字段是否显示以及固定列设置，支持查看指标同比，列表数据下载。</w:t>
            </w:r>
          </w:p>
        </w:tc>
      </w:tr>
      <w:tr w14:paraId="616A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749E514">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医疗组主页（医疗组下钻分析）</w:t>
            </w:r>
          </w:p>
        </w:tc>
        <w:tc>
          <w:tcPr>
            <w:tcW w:w="6650" w:type="dxa"/>
            <w:shd w:val="clear" w:color="auto" w:fill="auto"/>
            <w:vAlign w:val="center"/>
          </w:tcPr>
          <w:p w14:paraId="4674958A">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[单医疗组下DRG运营数据统计分析]</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1)总览：支持医疗组多选，展示医疗组在所选时间段内DRG核心数据概览，包含病例数、CMI、总权重、结余、药耗占比、病组构成、平均住院日等；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2)超支结余分析：展示医疗组超支结余/次均结余趋势、超支结余病组分布及趋势、超支结余病例分布及趋势、病例类型分布、费用极高极低病例占比趋势；支持下钻；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3)费用构成分析：展示医疗组各个费用类型的金额及占比，药耗占比趋势，支持按病例类型选择统计范围；</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4)病组构成分析：通过矩阵象限，分析所选医疗组优势病组、劣势病组；支持数据对比与下钻，对不同象限的病组提供分析结论；</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5)资源使用效率分析：展示医疗组平均住院日趋势、次均费用趋势、时间消耗指数、费用消耗指数；</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6)病组列表：同医疗组下不同病组DRG运营数据对比，支持下载；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7)医生列表：同医疗组下不同医生DRG运营数据对比，支持下载；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8)病例列表：所选医疗组所选时间段内所有病例数据，支持筛选、查看病例详情、模拟分组、下载。</w:t>
            </w:r>
          </w:p>
        </w:tc>
      </w:tr>
      <w:tr w14:paraId="5BF8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33DA88D8">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医生综合对比分析</w:t>
            </w:r>
          </w:p>
        </w:tc>
        <w:tc>
          <w:tcPr>
            <w:tcW w:w="6650" w:type="dxa"/>
            <w:shd w:val="clear" w:color="auto" w:fill="auto"/>
            <w:vAlign w:val="center"/>
          </w:tcPr>
          <w:p w14:paraId="26C814DE">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1)展示医生病例数、结余、CMI、次均费用、付费总权重、人头人次比、病组数、费用极高极低病例占比等DRG相关指标数据对比，支持数据下钻；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2)支持快捷筛选，包括超支医生、结余医生、环比结余增加、减少、费用极高极低病例占比高/低于全院平均等；支持年/季/月筛选和自定义时间区间、病例范围筛选、按医疗组筛选病例；支持模糊搜索医生；</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3)列表字段支持用户自定义显示与排列，包含表头字段是否显示以及固定列设置，列表数据下载。</w:t>
            </w:r>
          </w:p>
        </w:tc>
      </w:tr>
      <w:tr w14:paraId="0F369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0936D0F9">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费用分摊分析</w:t>
            </w:r>
          </w:p>
        </w:tc>
        <w:tc>
          <w:tcPr>
            <w:tcW w:w="6650" w:type="dxa"/>
            <w:shd w:val="clear" w:color="auto" w:fill="auto"/>
            <w:vAlign w:val="center"/>
          </w:tcPr>
          <w:p w14:paraId="7A7C63F4">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[根据患者在各临床开单科室产生的费用占比，将DRG结余按比例分摊统计分析]</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1)展示按出院科室与按费用产生科室结余对比；</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2)支持查看产生费用分摊病例明细，及病例在各科室的费用情况，支持下载；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3)支持按时间、科室、病例范围等筛选，支持表格按不同字段排序。</w:t>
            </w:r>
          </w:p>
        </w:tc>
      </w:tr>
      <w:tr w14:paraId="1585C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20614E02">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学科发展分析-学科覆盖度分析</w:t>
            </w:r>
          </w:p>
        </w:tc>
        <w:tc>
          <w:tcPr>
            <w:tcW w:w="6650" w:type="dxa"/>
            <w:shd w:val="clear" w:color="auto" w:fill="auto"/>
            <w:vAlign w:val="center"/>
          </w:tcPr>
          <w:p w14:paraId="5C4E0DE8">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展示各MDC中医院病组/病例相对地区全部病组的覆盖度、各MDC医院病组/病例占比（覆盖度），以此反映医院学科广度，支持数据下载。</w:t>
            </w:r>
          </w:p>
        </w:tc>
      </w:tr>
      <w:tr w14:paraId="0F500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C7BA781">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学科发展分析-科室评价</w:t>
            </w:r>
          </w:p>
        </w:tc>
        <w:tc>
          <w:tcPr>
            <w:tcW w:w="6650" w:type="dxa"/>
            <w:shd w:val="clear" w:color="auto" w:fill="auto"/>
            <w:vAlign w:val="center"/>
          </w:tcPr>
          <w:p w14:paraId="6B6F1189">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通过矩阵象限，分析在医保DRG下相对优势的科室、劣势的科室；支持指标组合维度切换、原点自定义；支持数据下钻与下载。</w:t>
            </w:r>
          </w:p>
        </w:tc>
      </w:tr>
      <w:tr w14:paraId="0C5FF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7CE4C22D">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学科发展分析-病组评价</w:t>
            </w:r>
          </w:p>
        </w:tc>
        <w:tc>
          <w:tcPr>
            <w:tcW w:w="6650" w:type="dxa"/>
            <w:shd w:val="clear" w:color="auto" w:fill="auto"/>
            <w:vAlign w:val="center"/>
          </w:tcPr>
          <w:p w14:paraId="5D393633">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通过矩阵象限，分析在医保DRG下医院的优势病组、劣势病组；支持指标组合维度切换；支持病组范围自定义，支持数据下钻与下载。</w:t>
            </w:r>
          </w:p>
        </w:tc>
      </w:tr>
      <w:tr w14:paraId="5B08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037FFC0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病例性质分析</w:t>
            </w:r>
          </w:p>
        </w:tc>
        <w:tc>
          <w:tcPr>
            <w:tcW w:w="6650" w:type="dxa"/>
            <w:shd w:val="clear" w:color="auto" w:fill="auto"/>
            <w:vAlign w:val="center"/>
          </w:tcPr>
          <w:p w14:paraId="36FF81EF">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1)展示各个统筹区、各个医保类型的病例数量及比例；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2)支持按照统筹区、医保类型分析全院及科室的核心指标，包括病例数、医疗总费用、次均费用、结余、平均住院日、CMI、药占比、耗占比、医技占比等；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3)支持表格数据排序和下载。</w:t>
            </w:r>
          </w:p>
        </w:tc>
      </w:tr>
      <w:tr w14:paraId="54A04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7C68CF46">
            <w:pPr>
              <w:spacing w:line="276"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病例数据综合查询与下载</w:t>
            </w:r>
          </w:p>
        </w:tc>
        <w:tc>
          <w:tcPr>
            <w:tcW w:w="6650" w:type="dxa"/>
            <w:shd w:val="clear" w:color="auto" w:fill="auto"/>
            <w:vAlign w:val="center"/>
          </w:tcPr>
          <w:p w14:paraId="71A83822">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1)展示病例明细数据，支持查看详情，包含DRG分组、诊断/手术、费用占比及明细等信息；</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2)支持按病例类型、15天再入院、科室、结余范围等条件组合筛选；支持按住院号、患者姓名、病案号、主诊主手等模糊搜索病例；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3)支持表格数据排序和筛选，支持15天再入院及其上次关联病例的数据下载；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4)支持大数据模拟分组，通过调整主诊断、次诊断、主手术、次手术进行模拟分组；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5)支持病例按多种结算方式进行预测对比，包括病组结算、中医结算，并优先展示结算金额最高的结算方式。</w:t>
            </w:r>
          </w:p>
        </w:tc>
      </w:tr>
      <w:tr w14:paraId="474A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207883D4">
            <w:pPr>
              <w:spacing w:line="276"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指标综合查询与下载</w:t>
            </w:r>
          </w:p>
        </w:tc>
        <w:tc>
          <w:tcPr>
            <w:tcW w:w="6650" w:type="dxa"/>
            <w:shd w:val="clear" w:color="auto" w:fill="auto"/>
            <w:vAlign w:val="center"/>
          </w:tcPr>
          <w:p w14:paraId="6989E568">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1)提供各个主题的指标下载，包括医疗服务能力、费用控制、DRG结算指标、费用控制等；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2)支持指标自定义选择数据范围、时间范围、导出维度（全院/科室/病组等）；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3)支持保存指标报表模板，方便同一报表重复下载；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4)支持导出DRG系统点击量统计指标，维度支持全院、科室、操作工号。</w:t>
            </w:r>
          </w:p>
        </w:tc>
      </w:tr>
      <w:tr w14:paraId="0642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6E190EF">
            <w:pPr>
              <w:spacing w:line="276"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结算导入管理</w:t>
            </w:r>
          </w:p>
        </w:tc>
        <w:tc>
          <w:tcPr>
            <w:tcW w:w="6650" w:type="dxa"/>
            <w:shd w:val="clear" w:color="auto" w:fill="auto"/>
            <w:vAlign w:val="center"/>
          </w:tcPr>
          <w:p w14:paraId="1FB1D652">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1)支持导入医保局下发的月度/年度结算单，支持导入后异常数据的手动处理，导入后系统以导入数据为准进行分析；</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2)支持根据不同类型灵活设置费率。</w:t>
            </w:r>
          </w:p>
        </w:tc>
      </w:tr>
      <w:tr w14:paraId="1536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4A7239D2">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重点病例分组核对</w:t>
            </w:r>
          </w:p>
        </w:tc>
        <w:tc>
          <w:tcPr>
            <w:tcW w:w="6650" w:type="dxa"/>
            <w:shd w:val="clear" w:color="auto" w:fill="auto"/>
            <w:vAlign w:val="center"/>
          </w:tcPr>
          <w:p w14:paraId="6EC55746">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1)支持按分组不一致、含特殊药品耗材、是否已查阅、院内已申诉、病例类型、特殊结算病例等条件筛选，可快速定位重点病例；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2)支持查看病例DRG预分组与医保结算分组对比，支持查看诊断/手术、费用明细、病历文书等数据，用于核对分组，判断是否需要申诉；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3)支持大数据模拟分组，通过调整主诊断、次诊断、主手术、次手术进行模拟分组；</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4)支持按科室统计超支结余，表格字段用户自定义显示与排列，包含表头字段是否显示以及固定列设置，支持列表数据下载；</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5)提供医保分组与预测分组一致率的统计。</w:t>
            </w:r>
          </w:p>
        </w:tc>
      </w:tr>
      <w:tr w14:paraId="5DA4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00AF2C2E">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病例申诉</w:t>
            </w:r>
          </w:p>
        </w:tc>
        <w:tc>
          <w:tcPr>
            <w:tcW w:w="6650" w:type="dxa"/>
            <w:shd w:val="clear" w:color="auto" w:fill="auto"/>
            <w:vAlign w:val="center"/>
          </w:tcPr>
          <w:p w14:paraId="0DEC9C39">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1)支持病例申诉流程，支持医生填写申诉资料及上传图片，支持医保办对申诉进行修改、确认操作；</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2)支持查看与下载病例申诉汇总；</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3)申诉反馈：支持查看申诉前后分组数据对比。</w:t>
            </w:r>
          </w:p>
        </w:tc>
      </w:tr>
      <w:tr w14:paraId="1865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2EDCA555">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费用构成规则设置</w:t>
            </w:r>
          </w:p>
        </w:tc>
        <w:tc>
          <w:tcPr>
            <w:tcW w:w="6650" w:type="dxa"/>
            <w:shd w:val="clear" w:color="auto" w:fill="auto"/>
            <w:vAlign w:val="center"/>
          </w:tcPr>
          <w:p w14:paraId="2ED9531D">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支持自定义设置费用分类，系统根据该分类进行费用相关指标的统计和分析。</w:t>
            </w:r>
          </w:p>
        </w:tc>
      </w:tr>
      <w:tr w14:paraId="33F0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15EE6D1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风险审核规则</w:t>
            </w:r>
          </w:p>
        </w:tc>
        <w:tc>
          <w:tcPr>
            <w:tcW w:w="6650" w:type="dxa"/>
            <w:shd w:val="clear" w:color="auto" w:fill="auto"/>
            <w:vAlign w:val="center"/>
          </w:tcPr>
          <w:p w14:paraId="62472E7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支持自定义设置费用异常、不合理入院、再入院、体检入院等预警病例的条件。</w:t>
            </w:r>
          </w:p>
        </w:tc>
      </w:tr>
      <w:tr w14:paraId="4778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2AF12A27">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结算单导入设置</w:t>
            </w:r>
          </w:p>
        </w:tc>
        <w:tc>
          <w:tcPr>
            <w:tcW w:w="6650" w:type="dxa"/>
            <w:shd w:val="clear" w:color="auto" w:fill="auto"/>
            <w:vAlign w:val="center"/>
          </w:tcPr>
          <w:p w14:paraId="0F418D38">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支持结算导入字段映射和处理。</w:t>
            </w:r>
          </w:p>
        </w:tc>
      </w:tr>
      <w:tr w14:paraId="3684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216200FB">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标杆设置</w:t>
            </w:r>
          </w:p>
        </w:tc>
        <w:tc>
          <w:tcPr>
            <w:tcW w:w="6650" w:type="dxa"/>
            <w:shd w:val="clear" w:color="auto" w:fill="auto"/>
            <w:vAlign w:val="center"/>
          </w:tcPr>
          <w:p w14:paraId="76683E04">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支持自定义设置病组和科室的标杆值。</w:t>
            </w:r>
          </w:p>
        </w:tc>
      </w:tr>
      <w:tr w14:paraId="51DE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8772BB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事中费用预警设置</w:t>
            </w:r>
          </w:p>
        </w:tc>
        <w:tc>
          <w:tcPr>
            <w:tcW w:w="6650" w:type="dxa"/>
            <w:shd w:val="clear" w:color="auto" w:fill="auto"/>
            <w:vAlign w:val="center"/>
          </w:tcPr>
          <w:p w14:paraId="20B303BA">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自定义费用极高风险预警、费用极低风险预警、超支风险三类费用预警的规则与生效范围。</w:t>
            </w:r>
          </w:p>
        </w:tc>
      </w:tr>
      <w:tr w14:paraId="5462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0EA4A34E">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病例详情设置</w:t>
            </w:r>
          </w:p>
        </w:tc>
        <w:tc>
          <w:tcPr>
            <w:tcW w:w="6650" w:type="dxa"/>
            <w:shd w:val="clear" w:color="auto" w:fill="auto"/>
            <w:vAlign w:val="center"/>
          </w:tcPr>
          <w:p w14:paraId="26E4784D">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支持自定义病例详情控费进度条的展示形式，以及详情页的字段信息、指标展示。</w:t>
            </w:r>
          </w:p>
        </w:tc>
      </w:tr>
      <w:tr w14:paraId="208EF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224D2A7">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管理科室设置</w:t>
            </w:r>
          </w:p>
        </w:tc>
        <w:tc>
          <w:tcPr>
            <w:tcW w:w="6650" w:type="dxa"/>
            <w:shd w:val="clear" w:color="auto" w:fill="auto"/>
            <w:vAlign w:val="center"/>
          </w:tcPr>
          <w:p w14:paraId="5BE6902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支持按出院科室设置大科室，满足医院二级科室管理。</w:t>
            </w:r>
          </w:p>
        </w:tc>
      </w:tr>
      <w:tr w14:paraId="243D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7" w:type="dxa"/>
            <w:shd w:val="clear" w:color="auto" w:fill="auto"/>
            <w:vAlign w:val="center"/>
          </w:tcPr>
          <w:p w14:paraId="5BDBF9D0">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角色与数据权限</w:t>
            </w:r>
          </w:p>
        </w:tc>
        <w:tc>
          <w:tcPr>
            <w:tcW w:w="6650" w:type="dxa"/>
            <w:shd w:val="clear" w:color="auto" w:fill="auto"/>
            <w:vAlign w:val="center"/>
          </w:tcPr>
          <w:p w14:paraId="4EA17F09">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支持根据医院需要，按照院级、科级、医生不同角色设置菜单和数据权限。</w:t>
            </w:r>
          </w:p>
        </w:tc>
      </w:tr>
    </w:tbl>
    <w:p w14:paraId="0867D3DA">
      <w:pPr>
        <w:pStyle w:val="2"/>
        <w:spacing w:line="240" w:lineRule="auto"/>
        <w:ind w:firstLine="482" w:firstLineChars="200"/>
        <w:rPr>
          <w:rFonts w:hint="eastAsia" w:ascii="宋体" w:hAnsi="宋体" w:eastAsia="宋体" w:cs="宋体"/>
          <w:b/>
          <w:bCs w:val="0"/>
          <w:sz w:val="24"/>
          <w:szCs w:val="24"/>
          <w:lang w:val="en-US" w:eastAsia="zh-CN"/>
        </w:rPr>
      </w:pPr>
      <w:bookmarkStart w:id="2" w:name="_Toc10981"/>
      <w:r>
        <w:rPr>
          <w:rFonts w:hint="eastAsia" w:ascii="宋体" w:hAnsi="宋体" w:eastAsia="宋体" w:cs="宋体"/>
          <w:b/>
          <w:bCs w:val="0"/>
          <w:sz w:val="24"/>
          <w:szCs w:val="24"/>
          <w:lang w:val="en-US" w:eastAsia="zh-CN"/>
        </w:rPr>
        <w:t>4.3.3 医保结算清单管理系统</w:t>
      </w:r>
      <w:bookmarkEnd w:id="2"/>
    </w:p>
    <w:tbl>
      <w:tblPr>
        <w:tblStyle w:val="4"/>
        <w:tblW w:w="7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6800"/>
      </w:tblGrid>
      <w:tr w14:paraId="784E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1FF77ECE">
            <w:pPr>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功能点</w:t>
            </w:r>
          </w:p>
        </w:tc>
        <w:tc>
          <w:tcPr>
            <w:tcW w:w="6800" w:type="dxa"/>
            <w:vAlign w:val="center"/>
          </w:tcPr>
          <w:p w14:paraId="5454CF5A">
            <w:pPr>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详细参数</w:t>
            </w:r>
          </w:p>
        </w:tc>
      </w:tr>
      <w:tr w14:paraId="365D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7F35C3B3">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管理指标统计</w:t>
            </w:r>
          </w:p>
        </w:tc>
        <w:tc>
          <w:tcPr>
            <w:tcW w:w="6800" w:type="dxa"/>
            <w:vAlign w:val="center"/>
          </w:tcPr>
          <w:p w14:paraId="2FEB55D0">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1)支持统计筛选时间段内的审核完成率、首次上报合格率。</w:t>
            </w:r>
          </w:p>
        </w:tc>
      </w:tr>
      <w:tr w14:paraId="52E75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15AD324F">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清单任务统计</w:t>
            </w:r>
          </w:p>
        </w:tc>
        <w:tc>
          <w:tcPr>
            <w:tcW w:w="6800" w:type="dxa"/>
            <w:vAlign w:val="center"/>
          </w:tcPr>
          <w:p w14:paraId="086E3D92">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1)支持展示已生成清单的数量，包含通过病案首页数据生成的清单数量和对特殊患者自动补充生产的清单数量。</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2)支持根据医院实际配置的审核流程节点，分别展示清单初审、清单复审、清单终审任务节点中具体的清单审核状态及数量，支持下钻到对应清单列表。</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3)支持按院内结算日期、出院日期统计筛选时间段内以上清单的数量及状态。</w:t>
            </w:r>
          </w:p>
        </w:tc>
      </w:tr>
      <w:tr w14:paraId="125C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12EDCBED">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清单生成</w:t>
            </w:r>
          </w:p>
        </w:tc>
        <w:tc>
          <w:tcPr>
            <w:tcW w:w="6800" w:type="dxa"/>
            <w:vAlign w:val="center"/>
          </w:tcPr>
          <w:p w14:paraId="4BBE1653">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1)支持自动获取医院各系统相关数据，生成待审核结算清单，自动对结算清单进行全量质检质控；</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2)支持对血液透析的患者自动生成结算清单，对于母婴同室的婴儿自动拆分结算清单，并提供全量质检质控；</w:t>
            </w:r>
          </w:p>
        </w:tc>
      </w:tr>
      <w:tr w14:paraId="4673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07B3DB9D">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清单操作</w:t>
            </w:r>
          </w:p>
        </w:tc>
        <w:tc>
          <w:tcPr>
            <w:tcW w:w="6800" w:type="dxa"/>
            <w:vAlign w:val="center"/>
          </w:tcPr>
          <w:p w14:paraId="77485A78">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1)支持自定义设置清单列表展示数量，如20条/页、50条/页、100条/页；</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2)支持对清单标记疑问病例，并在列表内进行差异化标识展示，支持搜索查询；</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3)支持在列表内对于已读清单和未读清单进行差异化展示，支持搜索查询；</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4)支持对符合再入院条件的患者进行差异化标识展示，支持查看上次住院信息，支持搜索查询；</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5)支持对与病案首页不一致的清单进行标注，支持查看病案首页与结算清单不一致的具体对比情况；</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6)支持查看每份清单的基本信息，包括患者信息、病案号、住院号、住院医师、入组情况、预计结余、病例类型等信息；支持按费用类型查看费用明细，并展示费用分布情况和费用占比。支持对于入组异常患者展示入组解析。</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7)支持展示清单质检结果，对不同预警级别差异化展示；支持展示诊断手术信息；支持展示清单批注信息并进行操作；</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8)支持通过大数据分析建立多维度优选策略，在保证清单合规的前提下提供结算更多组合的参考；支持通过大数据对疑似手术缺漏进行提醒，提供对应的优选组合，并对缺漏手术进行差异化标识；</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9)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10)支持对已修改的清单，手动开启清单自动更新；</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11)支持对不适用的清单规则进行关闭，并记录关闭理由；支持针对于个别患者无需修改的规则进行关闭，并记录关闭理由；</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11)支持查看清单编辑日志，日志记录所有操作人员、时间、操作内容，可查看修改前后对比，支持查看与初始清单的对比；</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12)支持对清单发起批注信息，选择发送至指定用户，支持立即发送或暂不发送仅保存；</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13)支持通过调整主次诊断、手术顺序对清单进行模拟入组，比对查看新旧分组预测与质控结果信息，支持将模拟分组结果快捷添加至批注或详情页；</w:t>
            </w:r>
          </w:p>
          <w:p w14:paraId="325DC633">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14)支持通过手动刷新HIS实时信息，更新待审核清单数据。</w:t>
            </w:r>
          </w:p>
        </w:tc>
      </w:tr>
      <w:tr w14:paraId="7736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07751A28">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我的清单</w:t>
            </w:r>
          </w:p>
        </w:tc>
        <w:tc>
          <w:tcPr>
            <w:tcW w:w="6800" w:type="dxa"/>
            <w:vAlign w:val="center"/>
          </w:tcPr>
          <w:p w14:paraId="1B944CCD">
            <w:pPr>
              <w:numPr>
                <w:ilvl w:val="0"/>
                <w:numId w:val="2"/>
              </w:num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支持按分配的数据权限，查看本人负责的全部流程节点下的所有结算清单；</w:t>
            </w:r>
          </w:p>
          <w:p w14:paraId="071791AB">
            <w:pPr>
              <w:numPr>
                <w:ilvl w:val="0"/>
                <w:numId w:val="2"/>
              </w:num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支持查看结算清单当前审核状态，支持按姓名、住院号、病案号、医生、分组、主诊断、主手术进行搜索，支持下载导出列表。</w:t>
            </w:r>
          </w:p>
          <w:p w14:paraId="1A8F910C">
            <w:pPr>
              <w:numPr>
                <w:ilvl w:val="0"/>
                <w:numId w:val="2"/>
              </w:num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支持对于重点问题主动进行推送，如已审核清单被退回、收到批注消息、清单数据源头发生变更</w:t>
            </w:r>
          </w:p>
        </w:tc>
      </w:tr>
      <w:tr w14:paraId="1307B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64E0126F">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待审核清单</w:t>
            </w:r>
          </w:p>
        </w:tc>
        <w:tc>
          <w:tcPr>
            <w:tcW w:w="6800" w:type="dxa"/>
            <w:vAlign w:val="center"/>
          </w:tcPr>
          <w:p w14:paraId="444FE390">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1)支持按分配的数据权限，查看本人负责的所有待审核的结算清单；</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2)支持对待审核清单操作审核通过，支持批量勾选操作审核通过，支持一键全部审核通过；已审核通过的清单根据审核流程配置，自动分配进入下一节点审核人员的待审核列表，并自动保存固化清单数据；</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3)支持设置自定义校验条件，对符合条件的清单自动审核通过并进入本人审核通过列表，未通过审核的清单进入待审核列表等待人工处理审核；</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4)支持对审核不通过的清单进行退回操作，可选择退回至指定流程的待审核列表；</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5)支持下载导出本人所有待审核清单列表。</w:t>
            </w:r>
          </w:p>
        </w:tc>
      </w:tr>
      <w:tr w14:paraId="0D3E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44B4C40C">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审核通过清单</w:t>
            </w:r>
          </w:p>
        </w:tc>
        <w:tc>
          <w:tcPr>
            <w:tcW w:w="6800" w:type="dxa"/>
            <w:vAlign w:val="center"/>
          </w:tcPr>
          <w:p w14:paraId="43CEE9F0">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1)支持查看所有本人审核通过的清单；</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2)支持批量勾选撤销本人已审核通过的清单，撤销审核后的清单变为本人待审核状态；</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3)支持下载导出本人所有审核通过清单列表；</w:t>
            </w:r>
          </w:p>
        </w:tc>
      </w:tr>
      <w:tr w14:paraId="0437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5FFA9B7D">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审核退回清单</w:t>
            </w:r>
          </w:p>
        </w:tc>
        <w:tc>
          <w:tcPr>
            <w:tcW w:w="6800" w:type="dxa"/>
            <w:vAlign w:val="center"/>
          </w:tcPr>
          <w:p w14:paraId="2652BEA4">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1)支持查看所有本人被审核退回的清单；</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2)支持重新对清单进行审核通过操作，重新进入下一节点审核人员的待审核列表。</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3)支持下载导出本人所有审核被退回清单列表。</w:t>
            </w:r>
          </w:p>
        </w:tc>
      </w:tr>
      <w:tr w14:paraId="0A82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16E3BAFE">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超时未审核清单</w:t>
            </w:r>
          </w:p>
        </w:tc>
        <w:tc>
          <w:tcPr>
            <w:tcW w:w="6800" w:type="dxa"/>
            <w:vAlign w:val="center"/>
          </w:tcPr>
          <w:p w14:paraId="33FF45E2">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1)根据每个审核节点设置的时限要求，系统自动将超过时限的清单置为超时未审核；</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2)支持查看所有本人超时未审核的清单；</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3)支持对清单进行审核通过操作，进入下一节点审核人员的待审核列表。</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4)支持下载导出本人所有超时未审核清单列表。</w:t>
            </w:r>
          </w:p>
        </w:tc>
      </w:tr>
      <w:tr w14:paraId="61D9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66F9B8B7">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自定义快捷筛选</w:t>
            </w:r>
          </w:p>
        </w:tc>
        <w:tc>
          <w:tcPr>
            <w:tcW w:w="6800" w:type="dxa"/>
            <w:vAlign w:val="center"/>
          </w:tcPr>
          <w:p w14:paraId="2790B0F6">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1)支持按照病例类型、质控问题、异常住院、特殊患者、费用相关条件类型，选择对应的指标，组合形成自定义快捷筛类型，针对每个审核环节，筛选出对应的清单列表；</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2)支持对筛选类型进行重命名；</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3)支持自定义添加多个快捷筛选类型；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4)支持初始化重点问题清单的快捷筛选类型；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5)支持下载导出快捷筛选类型下的清单列表。</w:t>
            </w:r>
          </w:p>
        </w:tc>
      </w:tr>
      <w:tr w14:paraId="68EE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4EBB7F2A">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其他筛选</w:t>
            </w:r>
          </w:p>
        </w:tc>
        <w:tc>
          <w:tcPr>
            <w:tcW w:w="6800" w:type="dxa"/>
            <w:vAlign w:val="center"/>
          </w:tcPr>
          <w:p w14:paraId="072B79BA">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1)支持对未读清单、疑问病例的筛选；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2)支持筛选与病案首页不一致的清单；</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3)支持筛选与初始清单不一致的清单，区分因数据源变更、清单调整变更原因导致的不一致清单。</w:t>
            </w:r>
          </w:p>
        </w:tc>
      </w:tr>
      <w:tr w14:paraId="7778D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513D5C6A">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消息中心</w:t>
            </w:r>
          </w:p>
        </w:tc>
        <w:tc>
          <w:tcPr>
            <w:tcW w:w="6800" w:type="dxa"/>
            <w:vAlign w:val="center"/>
          </w:tcPr>
          <w:p w14:paraId="32BAB7DE">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1)支持分类查看当前用户收到的、发起的、仅保存的批注，同时支持按照待处理、已接受、不接受进行分类筛选；</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2)支持对于整改批注消息进行处理，选择是否接受，支持填写不接受理由；</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3)消息列表支持直接打开清单详情页，支持对清单进行编辑与审核操作；</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4)支持在收到批注、批注回复消息时在系统内主动弹窗提示。</w:t>
            </w:r>
          </w:p>
        </w:tc>
      </w:tr>
      <w:tr w14:paraId="6033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5962AE71">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问题分布情况</w:t>
            </w:r>
          </w:p>
        </w:tc>
        <w:tc>
          <w:tcPr>
            <w:tcW w:w="6800" w:type="dxa"/>
            <w:vAlign w:val="center"/>
          </w:tcPr>
          <w:p w14:paraId="505819AD">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支持以月、季、年为统计区间，按院内结算时间或出院时间、科室、医疗组等维度分析问题清单。</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1)支持按重要性、质控内容、影响范围维度查看问题清单分布概况，包括强制性问题、提示性问题、编码问题、非编码问题、影响入组问题、可能影响入组问题、不影响入组问题清单的数量和占比；</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2)支持按问题清单类型，查看各科室的分布情况及占比，支持查看科室下对应的清单问题类型分布及占比情况，可下钻查看对应的清单详情；</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3)支持按主治医师、编码员分析问题清单的数量，可下钻查看对应的清单详情，支持下载导出列表。</w:t>
            </w:r>
          </w:p>
        </w:tc>
      </w:tr>
      <w:tr w14:paraId="670E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7AE2C121">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问题清单趋势</w:t>
            </w:r>
          </w:p>
        </w:tc>
        <w:tc>
          <w:tcPr>
            <w:tcW w:w="6800" w:type="dxa"/>
            <w:vAlign w:val="center"/>
          </w:tcPr>
          <w:p w14:paraId="5D82B5E3">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1)支持多维度筛选条件，通过图表展示问题清单数量、占比的变化趋势。</w:t>
            </w:r>
          </w:p>
        </w:tc>
      </w:tr>
      <w:tr w14:paraId="2A8C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3FEB8790">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清单调整情况</w:t>
            </w:r>
          </w:p>
        </w:tc>
        <w:tc>
          <w:tcPr>
            <w:tcW w:w="6800" w:type="dxa"/>
            <w:vAlign w:val="center"/>
          </w:tcPr>
          <w:p w14:paraId="72A49CB5">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支持以月、季、年为统计区间，按院内结算时间或出院时间、科室、医疗组等维度分析清单调整情况。</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1)支持多维度筛选结算清单，可视化展示已调整清单和未调整清单的具体数量及占比。</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2)支持对已调整清单进行分类筛选，包括调整前后分组不一致、主要诊断不一致、其它诊断不一致、主要手术不一致、其它手术不一致；</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3)支持查看调整清单分类的具体数量及占比，支持查看每一分类下具体科室和病例情况，支持查看具体科室清单调整前后权重差、结余差、修正问题数，支持查看清单调整前后具体对比，支持下载导出列表。</w:t>
            </w:r>
          </w:p>
        </w:tc>
      </w:tr>
      <w:tr w14:paraId="7273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2A972AFD">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清单调整前后对比分析</w:t>
            </w:r>
          </w:p>
        </w:tc>
        <w:tc>
          <w:tcPr>
            <w:tcW w:w="6800" w:type="dxa"/>
            <w:vAlign w:val="center"/>
          </w:tcPr>
          <w:p w14:paraId="4B195AB3">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 支持多维度筛选条件，通过图表展示清单调整前后结余分析、质控问题分析，支持查看总权重、结余差、修正问题数。</w:t>
            </w:r>
          </w:p>
        </w:tc>
      </w:tr>
      <w:tr w14:paraId="481F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09A55406">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医保结算清单质控规则</w:t>
            </w:r>
          </w:p>
        </w:tc>
        <w:tc>
          <w:tcPr>
            <w:tcW w:w="6800" w:type="dxa"/>
            <w:vAlign w:val="center"/>
          </w:tcPr>
          <w:p w14:paraId="11997E8E">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 系统提供专家知识库规则、DRG专项规则，费用专项规则，通过实时质控保证清单的完整性、逻辑性和准确性；</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2)支持个性化开启/关闭质控规则，支持批量启用/停用；</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3)支持个性化配置质控规则的强制性/提示性属性，强制性规则校验不通过时，不允许提交结算清单。</w:t>
            </w:r>
          </w:p>
        </w:tc>
      </w:tr>
      <w:tr w14:paraId="735E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6" w:type="dxa"/>
            <w:vAlign w:val="center"/>
          </w:tcPr>
          <w:p w14:paraId="63995C43">
            <w:pPr>
              <w:spacing w:line="273"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清单流程设置</w:t>
            </w:r>
          </w:p>
        </w:tc>
        <w:tc>
          <w:tcPr>
            <w:tcW w:w="6800" w:type="dxa"/>
            <w:vAlign w:val="center"/>
          </w:tcPr>
          <w:p w14:paraId="5B22083B">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支持根据医院实际情况，自定义配置结算清单管理流程；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1)支持个性化配置结算清单管理全流程，例如：生成-初审-上报、生成-初审-复审-上报、生成-初审-复审-终审-上报；</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2)支持在结算清单管理流程节点中配置对应角色和用户；</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3)流程节点支持多种审核类型，包括全量人工审核、人工+条件自动审核、无条件自动审核；</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4)支持按照患者结算时间、出院时间、上报日期设置审核时限；支持对审核超时的清单配置进入下一流程或保持当前流程；</w:t>
            </w:r>
            <w:r>
              <w:rPr>
                <w:rFonts w:hint="eastAsia" w:ascii="宋体" w:hAnsi="宋体" w:eastAsia="宋体" w:cs="宋体"/>
                <w:kern w:val="0"/>
                <w:szCs w:val="21"/>
                <w:highlight w:val="none"/>
              </w:rPr>
              <w:br w:type="textWrapping"/>
            </w:r>
            <w:r>
              <w:rPr>
                <w:rFonts w:hint="eastAsia" w:ascii="宋体" w:hAnsi="宋体" w:eastAsia="宋体" w:cs="宋体"/>
                <w:kern w:val="0"/>
                <w:szCs w:val="21"/>
                <w:highlight w:val="none"/>
              </w:rPr>
              <w:t>5)支持按病例类型、质控问题、异常入院的维度配置自动审核条件；满足校验条件通过的清单可自动进入下一个流程。</w:t>
            </w:r>
          </w:p>
        </w:tc>
      </w:tr>
      <w:tr w14:paraId="2F80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136" w:type="dxa"/>
            <w:vAlign w:val="center"/>
          </w:tcPr>
          <w:p w14:paraId="0E1C7BE3">
            <w:pPr>
              <w:spacing w:line="273"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rPr>
              <w:t>结算清单开放标准接口</w:t>
            </w:r>
          </w:p>
        </w:tc>
        <w:tc>
          <w:tcPr>
            <w:tcW w:w="6800" w:type="dxa"/>
            <w:vAlign w:val="center"/>
          </w:tcPr>
          <w:p w14:paraId="3470734B">
            <w:pPr>
              <w:spacing w:line="273"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以标准视图方式提供质控完成的清单数据，支持HIS及第三方调用获取并上传医保局。</w:t>
            </w:r>
          </w:p>
        </w:tc>
      </w:tr>
    </w:tbl>
    <w:p w14:paraId="06031B9F">
      <w:pPr>
        <w:pStyle w:val="2"/>
        <w:spacing w:line="360" w:lineRule="auto"/>
        <w:ind w:firstLine="482" w:firstLineChars="200"/>
        <w:rPr>
          <w:rFonts w:hint="default" w:ascii="宋体" w:hAnsi="宋体" w:cs="宋体" w:eastAsiaTheme="minorEastAsia"/>
          <w:b/>
          <w:bCs w:val="0"/>
          <w:sz w:val="24"/>
          <w:szCs w:val="24"/>
          <w:highlight w:val="none"/>
          <w:lang w:val="en-US" w:eastAsia="zh-CN"/>
        </w:rPr>
      </w:pPr>
      <w:bookmarkStart w:id="3" w:name="_Toc30410"/>
      <w:r>
        <w:rPr>
          <w:rFonts w:hint="default" w:ascii="宋体" w:hAnsi="宋体" w:cs="宋体" w:eastAsiaTheme="minorEastAsia"/>
          <w:b/>
          <w:bCs w:val="0"/>
          <w:sz w:val="24"/>
          <w:szCs w:val="24"/>
          <w:highlight w:val="none"/>
          <w:lang w:val="en-US" w:eastAsia="zh-CN"/>
        </w:rPr>
        <w:t>以上技术参数及要求，供应商需全部满足，需提供功能截图。否则按废标处理。</w:t>
      </w:r>
    </w:p>
    <w:p w14:paraId="4DF114B0">
      <w:pPr>
        <w:pStyle w:val="2"/>
        <w:spacing w:line="240" w:lineRule="auto"/>
        <w:ind w:firstLine="482" w:firstLineChars="200"/>
        <w:rPr>
          <w:rFonts w:hint="eastAsia" w:ascii="宋体" w:hAnsi="宋体" w:eastAsia="宋体" w:cs="宋体"/>
          <w:sz w:val="24"/>
          <w:szCs w:val="24"/>
          <w:highlight w:val="none"/>
        </w:rPr>
      </w:pPr>
      <w:r>
        <w:rPr>
          <w:rFonts w:hint="eastAsia" w:ascii="宋体" w:hAnsi="宋体" w:eastAsia="宋体" w:cs="宋体"/>
          <w:b/>
          <w:bCs w:val="0"/>
          <w:sz w:val="24"/>
          <w:szCs w:val="24"/>
          <w:lang w:val="en-US" w:eastAsia="zh-CN"/>
        </w:rPr>
        <w:t xml:space="preserve">4.3.4 </w:t>
      </w:r>
      <w:r>
        <w:rPr>
          <w:rFonts w:hint="eastAsia" w:ascii="宋体" w:hAnsi="宋体" w:eastAsia="宋体" w:cs="宋体"/>
          <w:sz w:val="24"/>
          <w:szCs w:val="24"/>
          <w:highlight w:val="none"/>
        </w:rPr>
        <w:t>云资源服务器</w:t>
      </w:r>
      <w:bookmarkEnd w:id="3"/>
    </w:p>
    <w:p w14:paraId="5585AE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由中标供应商提供《医保DRG管理平台》运行所需的云资源服务器，相应的云资源服务器安全保障由成交供应商负责，采购人不再另行提供。</w:t>
      </w:r>
    </w:p>
    <w:p w14:paraId="5B44CDB8">
      <w:pPr>
        <w:pStyle w:val="8"/>
        <w:rPr>
          <w:rFonts w:hint="eastAsia"/>
          <w:lang w:eastAsia="zh-CN"/>
        </w:rPr>
      </w:pPr>
    </w:p>
    <w:p w14:paraId="20DA7014">
      <w:pPr>
        <w:numPr>
          <w:ilvl w:val="0"/>
          <w:numId w:val="3"/>
        </w:numPr>
        <w:spacing w:line="360" w:lineRule="auto"/>
        <w:ind w:firstLine="482" w:firstLineChars="200"/>
        <w:outlineLvl w:val="1"/>
        <w:rPr>
          <w:rFonts w:hint="eastAsia" w:asciiTheme="minorEastAsia" w:hAnsiTheme="minorEastAsia" w:eastAsiaTheme="minorEastAsia"/>
          <w:b/>
          <w:bCs/>
          <w:sz w:val="24"/>
          <w:szCs w:val="18"/>
        </w:rPr>
      </w:pPr>
      <w:bookmarkStart w:id="4" w:name="_Toc19285"/>
      <w:r>
        <w:rPr>
          <w:rFonts w:hint="eastAsia" w:asciiTheme="minorEastAsia" w:hAnsiTheme="minorEastAsia" w:eastAsiaTheme="minorEastAsia"/>
          <w:b/>
          <w:bCs/>
          <w:sz w:val="24"/>
          <w:szCs w:val="18"/>
        </w:rPr>
        <w:t>实施及商务要求</w:t>
      </w:r>
      <w:bookmarkEnd w:id="4"/>
    </w:p>
    <w:p w14:paraId="304C4C7C">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default"/>
          <w:b/>
          <w:bCs/>
          <w:lang w:val="en-US" w:eastAsia="zh-CN"/>
        </w:rPr>
      </w:pPr>
      <w:r>
        <w:rPr>
          <w:rFonts w:hint="eastAsia"/>
          <w:b/>
          <w:bCs/>
          <w:lang w:val="en-US" w:eastAsia="zh-CN"/>
        </w:rPr>
        <w:t xml:space="preserve">5.1 </w:t>
      </w:r>
      <w:r>
        <w:rPr>
          <w:rFonts w:hint="eastAsia"/>
          <w:b/>
          <w:bCs/>
          <w:lang w:eastAsia="zh-CN"/>
        </w:rPr>
        <w:t>售后服务</w:t>
      </w:r>
      <w:r>
        <w:rPr>
          <w:rFonts w:hint="eastAsia"/>
          <w:b/>
          <w:bCs/>
          <w:lang w:val="en-US" w:eastAsia="zh-CN"/>
        </w:rPr>
        <w:tab/>
      </w:r>
    </w:p>
    <w:p w14:paraId="39E46900">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highlight w:val="none"/>
          <w:lang w:val="en-US" w:eastAsia="zh-CN"/>
        </w:rPr>
      </w:pPr>
      <w:r>
        <w:rPr>
          <w:rFonts w:hint="eastAsia"/>
          <w:highlight w:val="none"/>
          <w:lang w:val="en-US" w:eastAsia="zh-CN"/>
        </w:rPr>
        <w:t>1）</w:t>
      </w:r>
      <w:r>
        <w:rPr>
          <w:rFonts w:hint="eastAsia"/>
          <w:highlight w:val="none"/>
          <w:lang w:eastAsia="zh-CN"/>
        </w:rPr>
        <w:t>整体系统验收合格后免费维保3年（包含接口调整费用）。免费维保到期后，</w:t>
      </w:r>
      <w:r>
        <w:rPr>
          <w:rFonts w:hint="eastAsia" w:ascii="宋体" w:hAnsi="宋体" w:eastAsia="宋体" w:cs="宋体"/>
          <w:sz w:val="24"/>
          <w:szCs w:val="24"/>
          <w:highlight w:val="none"/>
          <w:lang w:val="en-US" w:eastAsia="zh-CN"/>
        </w:rPr>
        <w:t>成交供应商</w:t>
      </w:r>
      <w:r>
        <w:rPr>
          <w:rFonts w:hint="eastAsia"/>
          <w:highlight w:val="none"/>
          <w:lang w:eastAsia="zh-CN"/>
        </w:rPr>
        <w:t>需提供超期后服务，</w:t>
      </w:r>
      <w:r>
        <w:rPr>
          <w:rFonts w:hint="eastAsia"/>
          <w:highlight w:val="none"/>
          <w:lang w:val="en-US" w:eastAsia="zh-CN"/>
        </w:rPr>
        <w:t>每年</w:t>
      </w:r>
      <w:r>
        <w:rPr>
          <w:rFonts w:hint="eastAsia"/>
          <w:highlight w:val="none"/>
          <w:lang w:eastAsia="zh-CN"/>
        </w:rPr>
        <w:t>按不超过</w:t>
      </w:r>
      <w:r>
        <w:rPr>
          <w:rFonts w:hint="eastAsia"/>
          <w:highlight w:val="none"/>
          <w:lang w:val="en-US" w:eastAsia="zh-CN"/>
        </w:rPr>
        <w:t>成交</w:t>
      </w:r>
      <w:r>
        <w:rPr>
          <w:rFonts w:hint="eastAsia"/>
          <w:highlight w:val="none"/>
          <w:lang w:eastAsia="zh-CN"/>
        </w:rPr>
        <w:t>价格的</w:t>
      </w:r>
      <w:r>
        <w:rPr>
          <w:rFonts w:hint="eastAsia"/>
          <w:highlight w:val="none"/>
          <w:lang w:val="en-US" w:eastAsia="zh-CN"/>
        </w:rPr>
        <w:t>7%支付服务费（包含</w:t>
      </w:r>
      <w:r>
        <w:rPr>
          <w:rFonts w:hint="eastAsia" w:ascii="宋体" w:hAnsi="宋体" w:eastAsia="宋体" w:cs="宋体"/>
          <w:sz w:val="24"/>
          <w:szCs w:val="24"/>
          <w:highlight w:val="none"/>
          <w:lang w:val="en-US" w:eastAsia="zh-CN"/>
        </w:rPr>
        <w:t>云资源服务器</w:t>
      </w:r>
      <w:r>
        <w:rPr>
          <w:rFonts w:hint="eastAsia" w:hAnsi="宋体" w:cs="宋体"/>
          <w:sz w:val="24"/>
          <w:szCs w:val="24"/>
          <w:highlight w:val="none"/>
          <w:lang w:val="en-US" w:eastAsia="zh-CN"/>
        </w:rPr>
        <w:t>使用费）。</w:t>
      </w:r>
      <w:r>
        <w:rPr>
          <w:rFonts w:hint="eastAsia"/>
          <w:highlight w:val="none"/>
          <w:lang w:val="en-US" w:eastAsia="zh-CN"/>
        </w:rPr>
        <w:t>（以双方最终签订的合同协议为准）</w:t>
      </w:r>
    </w:p>
    <w:p w14:paraId="2F16E199">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2）</w:t>
      </w:r>
      <w:r>
        <w:rPr>
          <w:rFonts w:hint="eastAsia"/>
          <w:lang w:eastAsia="zh-CN"/>
        </w:rPr>
        <w:t>投标人所承诺的服务内容应包括：投标人的服务响应及维修等承诺，详细说明服务能力、服务时间、人员配备、系统故障响应、诊断、应急处理、维修和相应的设备更换计划等；投标人的技术支持和相应软件的升级承诺等。</w:t>
      </w:r>
    </w:p>
    <w:p w14:paraId="1BB572CD">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3）</w:t>
      </w:r>
      <w:r>
        <w:rPr>
          <w:rFonts w:hint="eastAsia"/>
          <w:lang w:eastAsia="zh-CN"/>
        </w:rPr>
        <w:t>在系统的服务期内，投标人应确保系统的正常使用。在接到用户服务要求后应立即做出回应，并在承诺的服务时间内实施服务。</w:t>
      </w:r>
    </w:p>
    <w:p w14:paraId="6292E0F7">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4）</w:t>
      </w:r>
      <w:r>
        <w:rPr>
          <w:rFonts w:hint="eastAsia"/>
          <w:lang w:eastAsia="zh-CN"/>
        </w:rPr>
        <w:t>7×24小时的免费上门保修服务半小时内响应，4小时内到达现场，24小时内解决故障。</w:t>
      </w:r>
    </w:p>
    <w:p w14:paraId="683ACFD2">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5）</w:t>
      </w:r>
      <w:r>
        <w:rPr>
          <w:rFonts w:hint="eastAsia"/>
          <w:lang w:eastAsia="zh-CN"/>
        </w:rPr>
        <w:t>热线电话服务提供技术咨询、故障诊断、故障排除、以及现场支持等具体的技术支持工作，并对客户投诉做出相应处理。</w:t>
      </w:r>
    </w:p>
    <w:p w14:paraId="64793934">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6）</w:t>
      </w:r>
      <w:r>
        <w:rPr>
          <w:rFonts w:hint="eastAsia"/>
          <w:lang w:eastAsia="zh-CN"/>
        </w:rPr>
        <w:t>定期巡检及调优系统，复杂的运行环境等种种原因会造成系统性能的逐渐下降。通过定期的技术检查，可及时排除故障隐患，以免问题发生后影响业务运作，还能及时调优系统性能，使系统始终处于高效率运行状态。</w:t>
      </w:r>
    </w:p>
    <w:p w14:paraId="105B3EBC">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eastAsia"/>
          <w:b/>
          <w:bCs/>
          <w:lang w:eastAsia="zh-CN"/>
        </w:rPr>
      </w:pPr>
      <w:r>
        <w:rPr>
          <w:rFonts w:hint="eastAsia"/>
          <w:b/>
          <w:bCs/>
          <w:lang w:val="en-US" w:eastAsia="zh-CN"/>
        </w:rPr>
        <w:t xml:space="preserve">5.2 </w:t>
      </w:r>
      <w:r>
        <w:rPr>
          <w:rFonts w:hint="eastAsia"/>
          <w:b/>
          <w:bCs/>
          <w:lang w:eastAsia="zh-CN"/>
        </w:rPr>
        <w:t>培训</w:t>
      </w:r>
    </w:p>
    <w:p w14:paraId="6E3B5335">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1）</w:t>
      </w:r>
      <w:r>
        <w:rPr>
          <w:rFonts w:hint="eastAsia"/>
          <w:lang w:eastAsia="zh-CN"/>
        </w:rPr>
        <w:t>培训：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的运行。</w:t>
      </w:r>
    </w:p>
    <w:p w14:paraId="54B7C5F5">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2）</w:t>
      </w:r>
      <w:r>
        <w:rPr>
          <w:rFonts w:hint="eastAsia"/>
          <w:lang w:eastAsia="zh-CN"/>
        </w:rPr>
        <w:t>所有的培训费用必须计入投标总价。</w:t>
      </w:r>
    </w:p>
    <w:p w14:paraId="54900375">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eastAsia" w:ascii="宋体" w:eastAsia="宋体" w:cs="Times New Roman"/>
          <w:b/>
          <w:bCs/>
          <w:lang w:val="en-US" w:eastAsia="zh-CN"/>
        </w:rPr>
      </w:pPr>
      <w:r>
        <w:rPr>
          <w:rFonts w:hint="eastAsia" w:ascii="宋体" w:eastAsia="宋体" w:cs="Times New Roman"/>
          <w:b/>
          <w:bCs/>
          <w:lang w:val="en-US" w:eastAsia="zh-CN"/>
        </w:rPr>
        <w:t>5.3 交货及安装调试</w:t>
      </w:r>
    </w:p>
    <w:p w14:paraId="6E771511">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1）</w:t>
      </w:r>
      <w:r>
        <w:rPr>
          <w:rFonts w:hint="eastAsia"/>
          <w:lang w:eastAsia="zh-CN"/>
        </w:rPr>
        <w:t>安装地点：医院指定地点。</w:t>
      </w:r>
    </w:p>
    <w:p w14:paraId="59B11270">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2）</w:t>
      </w:r>
      <w:r>
        <w:rPr>
          <w:rFonts w:hint="eastAsia"/>
          <w:lang w:eastAsia="zh-CN"/>
        </w:rPr>
        <w:t>实施周期：自合同签订后60天内，软件系统到货、安装完成。如在规定的时间内由于投标商的原因不能完成安装和调试，投标商应承担由此给用户造成的损失。</w:t>
      </w:r>
    </w:p>
    <w:p w14:paraId="3609BE4F">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highlight w:val="yellow"/>
          <w:lang w:eastAsia="zh-CN"/>
        </w:rPr>
      </w:pPr>
      <w:r>
        <w:rPr>
          <w:rFonts w:hint="eastAsia"/>
          <w:lang w:val="en-US" w:eastAsia="zh-CN"/>
        </w:rPr>
        <w:t>3）</w:t>
      </w:r>
      <w:r>
        <w:rPr>
          <w:rFonts w:hint="eastAsia"/>
          <w:lang w:eastAsia="zh-CN"/>
        </w:rPr>
        <w:t>安装标准：</w:t>
      </w:r>
      <w:r>
        <w:rPr>
          <w:rFonts w:hint="eastAsia"/>
          <w:highlight w:val="none"/>
          <w:lang w:eastAsia="zh-CN"/>
        </w:rPr>
        <w:t>符合我国国家有关技术规范要求和技术标准，并提供软件著作权证书。</w:t>
      </w:r>
    </w:p>
    <w:p w14:paraId="640B8FC1">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4）</w:t>
      </w:r>
      <w:r>
        <w:rPr>
          <w:rFonts w:hint="eastAsia"/>
          <w:lang w:eastAsia="zh-CN"/>
        </w:rPr>
        <w:t>安装调试过程中发生的费用由投标商负责。</w:t>
      </w:r>
    </w:p>
    <w:p w14:paraId="758223C7">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lang w:val="en-US" w:eastAsia="zh-CN"/>
        </w:rPr>
        <w:t>5）</w:t>
      </w:r>
      <w:r>
        <w:rPr>
          <w:rFonts w:hint="eastAsia"/>
          <w:lang w:eastAsia="zh-CN"/>
        </w:rPr>
        <w:t>在项目实施过程中，向医院提供齐全的电子版和书面的操作说明等文档。</w:t>
      </w:r>
    </w:p>
    <w:p w14:paraId="303FB0EF">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highlight w:val="none"/>
          <w:lang w:val="en-US" w:eastAsia="zh-CN"/>
        </w:rPr>
      </w:pPr>
      <w:r>
        <w:rPr>
          <w:rFonts w:hint="eastAsia"/>
          <w:highlight w:val="none"/>
          <w:lang w:val="en-US" w:eastAsia="zh-CN"/>
        </w:rPr>
        <w:t>6）</w:t>
      </w:r>
      <w:r>
        <w:rPr>
          <w:rFonts w:hint="eastAsia"/>
          <w:highlight w:val="none"/>
          <w:lang w:eastAsia="zh-CN"/>
        </w:rPr>
        <w:t>项目经理人员要求：指定</w:t>
      </w:r>
      <w:r>
        <w:rPr>
          <w:rFonts w:hint="eastAsia"/>
          <w:highlight w:val="none"/>
          <w:lang w:val="en-US" w:eastAsia="zh-CN"/>
        </w:rPr>
        <w:t>一</w:t>
      </w:r>
      <w:r>
        <w:rPr>
          <w:rFonts w:hint="eastAsia"/>
          <w:highlight w:val="none"/>
          <w:lang w:eastAsia="zh-CN"/>
        </w:rPr>
        <w:t>名项目经理全程负责本项目，</w:t>
      </w:r>
      <w:r>
        <w:rPr>
          <w:rFonts w:hint="eastAsia"/>
          <w:highlight w:val="none"/>
          <w:lang w:val="en-US" w:eastAsia="zh-CN"/>
        </w:rPr>
        <w:t>如成交后更换项目经理，需提前一个月通知采购人。</w:t>
      </w:r>
    </w:p>
    <w:p w14:paraId="62528824">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2" w:firstLineChars="200"/>
        <w:textAlignment w:val="auto"/>
        <w:rPr>
          <w:rFonts w:hint="eastAsia" w:ascii="宋体" w:eastAsia="宋体" w:cs="Times New Roman"/>
          <w:b/>
          <w:bCs/>
          <w:highlight w:val="none"/>
          <w:lang w:val="en-US" w:eastAsia="zh-CN"/>
        </w:rPr>
      </w:pPr>
      <w:r>
        <w:rPr>
          <w:rFonts w:hint="eastAsia" w:ascii="宋体" w:eastAsia="宋体" w:cs="Times New Roman"/>
          <w:b/>
          <w:bCs/>
          <w:highlight w:val="none"/>
          <w:lang w:val="en-US" w:eastAsia="zh-CN"/>
        </w:rPr>
        <w:t>5.4 验收</w:t>
      </w:r>
    </w:p>
    <w:p w14:paraId="0A7A0950">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eastAsia="zh-CN"/>
        </w:rPr>
      </w:pPr>
      <w:r>
        <w:rPr>
          <w:rFonts w:hint="eastAsia"/>
          <w:lang w:val="en-US" w:eastAsia="zh-CN"/>
        </w:rPr>
        <w:t>1）</w:t>
      </w:r>
      <w:r>
        <w:rPr>
          <w:rFonts w:hint="eastAsia"/>
          <w:lang w:eastAsia="zh-CN"/>
        </w:rPr>
        <w:t>投标商应提供项目相关软件、设备的有效验收文件，</w:t>
      </w:r>
      <w:r>
        <w:rPr>
          <w:rFonts w:hint="eastAsia"/>
          <w:highlight w:val="none"/>
          <w:lang w:eastAsia="zh-CN"/>
        </w:rPr>
        <w:t>经采购人认</w:t>
      </w:r>
      <w:r>
        <w:rPr>
          <w:rFonts w:hint="eastAsia"/>
          <w:lang w:eastAsia="zh-CN"/>
        </w:rPr>
        <w:t>可后，作为验收标准。用户对项目验收合格后，双方共同签署验收合格证书并加盖公章。验收中发现软件、设备达不到验收标准或合同规定</w:t>
      </w:r>
      <w:r>
        <w:rPr>
          <w:rFonts w:hint="eastAsia"/>
          <w:highlight w:val="none"/>
          <w:lang w:eastAsia="zh-CN"/>
        </w:rPr>
        <w:t>的性能指标，成交供应商必须修改相应内容，以满足用户需求。</w:t>
      </w:r>
    </w:p>
    <w:p w14:paraId="17D3D26E">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eastAsia="zh-CN"/>
        </w:rPr>
      </w:pPr>
      <w:r>
        <w:rPr>
          <w:rFonts w:hint="eastAsia"/>
          <w:highlight w:val="none"/>
          <w:lang w:val="en-US" w:eastAsia="zh-CN"/>
        </w:rPr>
        <w:t>2）</w:t>
      </w:r>
      <w:r>
        <w:rPr>
          <w:rFonts w:hint="eastAsia"/>
          <w:highlight w:val="none"/>
          <w:lang w:eastAsia="zh-CN"/>
        </w:rPr>
        <w:t>自合同签订并完成系统的所有功能初试，</w:t>
      </w:r>
      <w:r>
        <w:rPr>
          <w:rFonts w:hint="eastAsia"/>
          <w:lang w:eastAsia="zh-CN"/>
        </w:rPr>
        <w:t>试运行正常一个月后，组织项目终验。</w:t>
      </w:r>
    </w:p>
    <w:p w14:paraId="2F5609D1">
      <w:pPr>
        <w:pStyle w:val="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pPr>
      <w:bookmarkStart w:id="5" w:name="_GoBack"/>
      <w:bookmarkEnd w:id="5"/>
      <w:r>
        <w:rPr>
          <w:rFonts w:hint="eastAsia"/>
          <w:lang w:val="en-US" w:eastAsia="zh-CN"/>
        </w:rPr>
        <w:t>3）</w:t>
      </w:r>
      <w:r>
        <w:rPr>
          <w:rFonts w:hint="eastAsia"/>
          <w:lang w:eastAsia="zh-CN"/>
        </w:rPr>
        <w:t>验收费用由</w:t>
      </w:r>
      <w:r>
        <w:rPr>
          <w:rFonts w:hint="eastAsia"/>
          <w:lang w:val="en-US" w:eastAsia="zh-CN"/>
        </w:rPr>
        <w:t>供应商</w:t>
      </w:r>
      <w:r>
        <w:rPr>
          <w:rFonts w:hint="eastAsia"/>
          <w:lang w:eastAsia="zh-CN"/>
        </w:rPr>
        <w:t>负责。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8AB298"/>
    <w:multiLevelType w:val="singleLevel"/>
    <w:tmpl w:val="348AB298"/>
    <w:lvl w:ilvl="0" w:tentative="0">
      <w:start w:val="5"/>
      <w:numFmt w:val="chineseCounting"/>
      <w:suff w:val="nothing"/>
      <w:lvlText w:val="%1、"/>
      <w:lvlJc w:val="left"/>
      <w:rPr>
        <w:rFonts w:hint="eastAsia"/>
      </w:rPr>
    </w:lvl>
  </w:abstractNum>
  <w:abstractNum w:abstractNumId="1">
    <w:nsid w:val="54714053"/>
    <w:multiLevelType w:val="multilevel"/>
    <w:tmpl w:val="54714053"/>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54469E5"/>
    <w:multiLevelType w:val="singleLevel"/>
    <w:tmpl w:val="554469E5"/>
    <w:lvl w:ilvl="0" w:tentative="0">
      <w:start w:val="2"/>
      <w:numFmt w:val="chineseCounting"/>
      <w:suff w:val="nothing"/>
      <w:lvlText w:val="%1、"/>
      <w:lvlJc w:val="left"/>
      <w:rPr>
        <w:rFonts w:hint="eastAsia"/>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3165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3"/>
    <w:basedOn w:val="1"/>
    <w:next w:val="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D&amp;L"/>
    <w:basedOn w:val="3"/>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8">
    <w:name w:val="Default"/>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2025-02-13T01:47:13Z</dcterms:created>
  <dc:creator>wk1</dc:creator>
  <cp:lastModifiedBy>WPS_1596438407</cp:lastModifiedBy>
  <dcterms:modified xsi:type="dcterms:W3CDTF">2025-02-13T01:47:43Z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eyJoZGlkIjoiMTc5ZWM4MzU1NzZkMTk3ZmZmMTkxYmMzODE2NDQ1M2YiLCJ1c2VySWQiOiIxMDQ5OTUxNTM5In0=</vt:lpwstr>
  </property>
  <property fmtid="{D5CDD505-2E9C-101B-9397-08002B2CF9AE}" pid="4" name="ICV">
    <vt:lpwstr>105FE760D4B04BEFAA7302AB62E93665_12</vt:lpwstr>
  </property>
</Properties>
</file>