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0ECB0C">
      <w:pPr>
        <w:pStyle w:val="3"/>
        <w:numPr>
          <w:numId w:val="0"/>
        </w:numPr>
        <w:spacing w:before="0" w:after="0" w:line="560" w:lineRule="exact"/>
        <w:jc w:val="center"/>
        <w:rPr>
          <w:rFonts w:hint="eastAsia" w:ascii="宋体" w:hAnsi="宋体" w:eastAsia="宋体" w:cs="宋体"/>
          <w:color w:val="auto"/>
          <w:sz w:val="28"/>
          <w:szCs w:val="28"/>
          <w:highlight w:val="none"/>
        </w:rPr>
      </w:pPr>
      <w:bookmarkStart w:id="0" w:name="_Toc25588"/>
    </w:p>
    <w:p w14:paraId="36A14DE9">
      <w:pPr>
        <w:pStyle w:val="3"/>
        <w:numPr>
          <w:numId w:val="0"/>
        </w:numPr>
        <w:spacing w:before="0" w:after="0" w:line="560" w:lineRule="exact"/>
        <w:jc w:val="center"/>
        <w:rPr>
          <w:rFonts w:ascii="宋体" w:hAnsi="宋体" w:eastAsia="宋体" w:cs="宋体"/>
          <w:color w:val="auto"/>
          <w:sz w:val="28"/>
          <w:szCs w:val="28"/>
          <w:highlight w:val="none"/>
        </w:rPr>
      </w:pPr>
      <w:bookmarkStart w:id="1" w:name="_GoBack"/>
      <w:bookmarkEnd w:id="1"/>
      <w:r>
        <w:rPr>
          <w:rFonts w:hint="eastAsia" w:ascii="宋体" w:hAnsi="宋体" w:eastAsia="宋体" w:cs="宋体"/>
          <w:color w:val="auto"/>
          <w:sz w:val="28"/>
          <w:szCs w:val="28"/>
          <w:highlight w:val="none"/>
        </w:rPr>
        <w:t>采购需求</w:t>
      </w:r>
      <w:bookmarkEnd w:id="0"/>
    </w:p>
    <w:p w14:paraId="7EC378DB">
      <w:pPr>
        <w:pStyle w:val="10"/>
        <w:pageBreakBefore w:val="0"/>
        <w:widowControl w:val="0"/>
        <w:kinsoku/>
        <w:wordWrap/>
        <w:overflowPunct/>
        <w:topLinePunct w:val="0"/>
        <w:autoSpaceDE/>
        <w:autoSpaceDN/>
        <w:bidi w:val="0"/>
        <w:snapToGrid/>
        <w:spacing w:after="0" w:line="560" w:lineRule="exact"/>
        <w:ind w:firstLine="480" w:firstLineChars="200"/>
        <w:rPr>
          <w:rFonts w:eastAsiaTheme="minorEastAsia" w:cstheme="minorBidi"/>
          <w:color w:val="auto"/>
          <w:sz w:val="24"/>
          <w:highlight w:val="none"/>
        </w:rPr>
      </w:pPr>
    </w:p>
    <w:p w14:paraId="04C08816">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一、项目简要情况</w:t>
      </w:r>
    </w:p>
    <w:p w14:paraId="5DEDC39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舒城县人民医院位于桃溪东路新区，占地面积82亩，建筑面积10万平米，编制床位1000张，污水处理站设计污水处理量每天约1000吨，于2014年10月投入使用，该污水站采用“格栅+调节池（水解酸化）+厌氧+好氧（接触氧化）+沉淀+接触消毒（二氧化氯）”的处理工艺。医院废水属于一般性医疗废水，</w:t>
      </w:r>
      <w:r>
        <w:rPr>
          <w:rFonts w:hint="eastAsia" w:ascii="宋体" w:hAnsi="宋体" w:eastAsia="宋体" w:cs="宋体"/>
          <w:color w:val="auto"/>
          <w:sz w:val="24"/>
          <w:szCs w:val="24"/>
          <w:highlight w:val="none"/>
          <w:lang w:val="en-US" w:eastAsia="zh-CN"/>
        </w:rPr>
        <w:t>现行</w:t>
      </w:r>
      <w:r>
        <w:rPr>
          <w:rFonts w:hint="eastAsia" w:ascii="宋体" w:hAnsi="宋体" w:eastAsia="宋体" w:cs="宋体"/>
          <w:color w:val="auto"/>
          <w:sz w:val="24"/>
          <w:szCs w:val="24"/>
          <w:highlight w:val="none"/>
        </w:rPr>
        <w:t>排放执行标准：医疗机构水污染物排放标准GB 18466-2005。</w:t>
      </w:r>
    </w:p>
    <w:p w14:paraId="3DEBB60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水处理系统的日常运维管理主要负责污水处理站各个系统的运行、维护、保养，为污水处理站所有设施设备维修保养、配置专业人员，其中包含确保污水站正常运行所使用的各类耗材、辅材、物资运输及储存、各类设施设备的保养维修、污水处理站运营管理范围内环境卫生，进行污水处理操作、检查、维修、保养；排污许可证的监测、填报及管理等。</w:t>
      </w:r>
    </w:p>
    <w:p w14:paraId="395B56DA">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 服务范围和要求</w:t>
      </w:r>
    </w:p>
    <w:p w14:paraId="61A6C5A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（一）服务范围</w:t>
      </w:r>
    </w:p>
    <w:p w14:paraId="16F1171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污水站日常运转维护及人员管理</w:t>
      </w:r>
      <w:r>
        <w:rPr>
          <w:rFonts w:hint="eastAsia" w:ascii="宋体" w:hAnsi="宋体" w:eastAsia="宋体" w:cs="宋体"/>
          <w:color w:val="auto"/>
          <w:sz w:val="24"/>
          <w:szCs w:val="24"/>
          <w:highlight w:val="none"/>
          <w:lang w:eastAsia="zh-CN"/>
        </w:rPr>
        <w:t>；</w:t>
      </w:r>
    </w:p>
    <w:p w14:paraId="2CC35BA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水质在线检测设备维护保养及运维工作</w:t>
      </w:r>
      <w:r>
        <w:rPr>
          <w:rFonts w:hint="eastAsia" w:ascii="宋体" w:hAnsi="宋体" w:eastAsia="宋体" w:cs="宋体"/>
          <w:color w:val="auto"/>
          <w:sz w:val="24"/>
          <w:szCs w:val="24"/>
          <w:highlight w:val="none"/>
          <w:lang w:eastAsia="zh-CN"/>
        </w:rPr>
        <w:t>；</w:t>
      </w:r>
    </w:p>
    <w:p w14:paraId="17B59E7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排污许可证手工监测及环保相关系统填报管理</w:t>
      </w:r>
      <w:r>
        <w:rPr>
          <w:rFonts w:hint="eastAsia" w:ascii="宋体" w:hAnsi="宋体" w:eastAsia="宋体" w:cs="宋体"/>
          <w:color w:val="auto"/>
          <w:sz w:val="24"/>
          <w:szCs w:val="24"/>
          <w:highlight w:val="none"/>
          <w:lang w:eastAsia="zh-CN"/>
        </w:rPr>
        <w:t>；</w:t>
      </w:r>
    </w:p>
    <w:p w14:paraId="1D15AC9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污水水质达标处理其它关于污水站相关工作</w:t>
      </w:r>
      <w:r>
        <w:rPr>
          <w:rFonts w:hint="eastAsia" w:ascii="宋体" w:hAnsi="宋体" w:eastAsia="宋体" w:cs="宋体"/>
          <w:color w:val="auto"/>
          <w:sz w:val="24"/>
          <w:szCs w:val="24"/>
          <w:highlight w:val="none"/>
          <w:lang w:eastAsia="zh-CN"/>
        </w:rPr>
        <w:t>；</w:t>
      </w:r>
    </w:p>
    <w:p w14:paraId="057001A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做好与环保部门对接工作</w:t>
      </w:r>
      <w:r>
        <w:rPr>
          <w:rFonts w:hint="eastAsia" w:ascii="宋体" w:hAnsi="宋体" w:eastAsia="宋体" w:cs="宋体"/>
          <w:color w:val="auto"/>
          <w:sz w:val="24"/>
          <w:szCs w:val="24"/>
          <w:highlight w:val="none"/>
          <w:lang w:eastAsia="zh-CN"/>
        </w:rPr>
        <w:t>。</w:t>
      </w:r>
    </w:p>
    <w:p w14:paraId="58959D3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（二）服务要求</w:t>
      </w:r>
    </w:p>
    <w:p w14:paraId="55A7C59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人员要求：</w:t>
      </w:r>
    </w:p>
    <w:p w14:paraId="44D0EF2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1.1  污水站要求人员不能少于3人</w:t>
      </w:r>
      <w:r>
        <w:rPr>
          <w:rFonts w:hint="eastAsia" w:ascii="宋体" w:hAnsi="宋体" w:eastAsia="宋体" w:cs="宋体"/>
          <w:color w:val="auto"/>
          <w:sz w:val="24"/>
          <w:szCs w:val="24"/>
          <w:highlight w:val="none"/>
          <w:lang w:eastAsia="zh-CN"/>
        </w:rPr>
        <w:t>（含项目负责人</w:t>
      </w:r>
      <w:r>
        <w:rPr>
          <w:rFonts w:hint="eastAsia" w:ascii="宋体" w:hAnsi="宋体" w:eastAsia="宋体" w:cs="宋体"/>
          <w:color w:val="auto"/>
          <w:sz w:val="24"/>
          <w:szCs w:val="24"/>
          <w:highlight w:val="none"/>
          <w:lang w:val="en-US" w:eastAsia="zh-CN"/>
        </w:rPr>
        <w:t>1人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24小时轮班制，保证值班人员不少于1名；技术人员随叫随到，白天工作时间值守或巡查、数据记录、设备检查、药剂投加及常规维护保养，保证污水站正常运行，如遇污水治理及超标问题技术人员要及时有效的处理。配备</w:t>
      </w:r>
      <w:r>
        <w:rPr>
          <w:rFonts w:hint="eastAsia" w:ascii="宋体" w:hAnsi="宋体" w:cs="宋体"/>
          <w:color w:val="auto"/>
          <w:sz w:val="24"/>
          <w:szCs w:val="24"/>
          <w:highlight w:val="none"/>
          <w:lang w:val="en-US" w:eastAsia="zh-CN"/>
        </w:rPr>
        <w:t>人员中应包括</w:t>
      </w:r>
      <w:r>
        <w:rPr>
          <w:rFonts w:hint="eastAsia" w:ascii="宋体" w:hAnsi="宋体" w:eastAsia="宋体" w:cs="宋体"/>
          <w:color w:val="auto"/>
          <w:sz w:val="24"/>
          <w:szCs w:val="24"/>
          <w:highlight w:val="none"/>
        </w:rPr>
        <w:t>维保与维修人员，负责污水处理站维保工作和应急抢修维修。</w:t>
      </w:r>
      <w:r>
        <w:rPr>
          <w:rFonts w:hint="eastAsia" w:ascii="宋体" w:hAnsi="宋体" w:cs="宋体"/>
          <w:color w:val="auto"/>
          <w:sz w:val="24"/>
          <w:szCs w:val="24"/>
          <w:highlight w:val="none"/>
          <w:lang w:val="en-US" w:eastAsia="zh-CN"/>
        </w:rPr>
        <w:t>人员交班须设置登记簿，记录巡查及维保情况及时间（精确到分钟），并告知接班人相关注意事项（须在登记簿中登记告知事项，否则视为未告知），遇到问题提前告知交班人和采购人。如因交班人员未告知、告知不及时或隐瞒问题等情况，造成设备损坏或水质超标的，由供应商负责更换新设备（不论金额大小）并承担环保等部门给予采购人的一切处罚（含整改和经济处罚）。</w:t>
      </w:r>
    </w:p>
    <w:p w14:paraId="5BD151A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值班人员做好巡查、数据记录、设备检查、药剂投加及常规维护保养工作，保证污水站正常运行，如遇污水治理及超标问题技术人员要及时有效的处理。值班人员每日上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下午各巡查1次，进行数据记录、设备检查、药剂投加及常规维护保养，保证污水站正常、稳定运行，各项指标波动不超出合理范围，每月反馈运行简报。运维单位负责污水处理站设施设备正常运行，出水指标按最新排污许可证要求及《医疗机构污水排放标准》（GB18466-2005）国家标准、环保相关法规要求（如有/遇最新政策，按照最新政策执行）达标排放。若第三方检测结果不合格，立即整改到符合要求。如出现排放指标超标情况，由此发生的环保</w:t>
      </w:r>
      <w:r>
        <w:rPr>
          <w:rFonts w:hint="eastAsia" w:ascii="宋体" w:hAnsi="宋体" w:cs="宋体"/>
          <w:color w:val="auto"/>
          <w:sz w:val="24"/>
          <w:szCs w:val="24"/>
          <w:highlight w:val="none"/>
          <w:lang w:eastAsia="zh-CN"/>
        </w:rPr>
        <w:t>等</w:t>
      </w:r>
      <w:r>
        <w:rPr>
          <w:rFonts w:hint="eastAsia" w:ascii="宋体" w:hAnsi="宋体" w:eastAsia="宋体" w:cs="宋体"/>
          <w:color w:val="auto"/>
          <w:sz w:val="24"/>
          <w:szCs w:val="24"/>
          <w:highlight w:val="none"/>
        </w:rPr>
        <w:t>部门行政处罚及罚款由运维单位</w:t>
      </w:r>
      <w:r>
        <w:rPr>
          <w:rFonts w:hint="eastAsia" w:ascii="宋体" w:hAnsi="宋体" w:cs="宋体"/>
          <w:color w:val="auto"/>
          <w:sz w:val="24"/>
          <w:szCs w:val="24"/>
          <w:highlight w:val="none"/>
          <w:lang w:eastAsia="zh-CN"/>
        </w:rPr>
        <w:t>承担</w:t>
      </w:r>
      <w:r>
        <w:rPr>
          <w:rFonts w:hint="eastAsia" w:ascii="宋体" w:hAnsi="宋体" w:eastAsia="宋体" w:cs="宋体"/>
          <w:color w:val="auto"/>
          <w:sz w:val="24"/>
          <w:szCs w:val="24"/>
          <w:highlight w:val="none"/>
        </w:rPr>
        <w:t>。</w:t>
      </w:r>
    </w:p>
    <w:p w14:paraId="3AC83B7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遇到各级各类检查需要</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相关人员配合的，提前通知相关人员应检查前到岗，如临时通知应在</w:t>
      </w:r>
      <w:r>
        <w:rPr>
          <w:rFonts w:hint="eastAsia" w:ascii="宋体" w:hAnsi="宋体" w:cs="宋体"/>
          <w:color w:val="auto"/>
          <w:sz w:val="24"/>
          <w:szCs w:val="24"/>
          <w:highlight w:val="none"/>
          <w:lang w:val="en-US" w:eastAsia="zh-CN"/>
        </w:rPr>
        <w:t>30分钟</w:t>
      </w:r>
      <w:r>
        <w:rPr>
          <w:rFonts w:hint="eastAsia" w:ascii="宋体" w:hAnsi="宋体" w:eastAsia="宋体" w:cs="宋体"/>
          <w:color w:val="auto"/>
          <w:sz w:val="24"/>
          <w:szCs w:val="24"/>
          <w:highlight w:val="none"/>
        </w:rPr>
        <w:t>内到岗。</w:t>
      </w:r>
    </w:p>
    <w:p w14:paraId="17BC4DA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定期对现场操作人员进行专业知识培训</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现场人员在污水处理站工作过程以及通勤过程中产生的一切安全责任由</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承担。</w:t>
      </w:r>
    </w:p>
    <w:p w14:paraId="77CE17D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项目负责人应具有环保类</w:t>
      </w:r>
      <w:r>
        <w:rPr>
          <w:rFonts w:hint="eastAsia" w:ascii="宋体" w:hAnsi="宋体" w:cs="宋体"/>
          <w:color w:val="auto"/>
          <w:sz w:val="24"/>
          <w:szCs w:val="24"/>
          <w:highlight w:val="none"/>
          <w:lang w:eastAsia="zh-CN"/>
        </w:rPr>
        <w:t>中级或以上职称</w:t>
      </w:r>
      <w:r>
        <w:rPr>
          <w:rFonts w:hint="eastAsia" w:ascii="宋体" w:hAnsi="宋体" w:eastAsia="宋体" w:cs="宋体"/>
          <w:color w:val="auto"/>
          <w:sz w:val="24"/>
          <w:szCs w:val="24"/>
          <w:highlight w:val="none"/>
        </w:rPr>
        <w:t>证书，污废水处理工应持有各类污（废）水处理从业资格证书，在线监测维保人员应具有国家环保部门认可的资格证书</w:t>
      </w:r>
      <w:r>
        <w:rPr>
          <w:rFonts w:hint="eastAsia" w:ascii="宋体" w:hAnsi="宋体" w:eastAsia="宋体" w:cs="宋体"/>
          <w:color w:val="auto"/>
          <w:sz w:val="24"/>
          <w:szCs w:val="24"/>
          <w:highlight w:val="none"/>
          <w:lang w:eastAsia="zh-CN"/>
        </w:rPr>
        <w:t>（省级及以上环保部门（含环保产业协会）或环保部门（含环保产业协会）认可的培训机构颁发的</w:t>
      </w:r>
      <w:r>
        <w:rPr>
          <w:rFonts w:hint="eastAsia" w:ascii="宋体" w:hAnsi="宋体" w:cs="宋体"/>
          <w:color w:val="auto"/>
          <w:sz w:val="24"/>
          <w:szCs w:val="24"/>
          <w:highlight w:val="none"/>
          <w:lang w:val="en-US" w:eastAsia="zh-CN"/>
        </w:rPr>
        <w:t>水污染连续</w:t>
      </w:r>
      <w:r>
        <w:rPr>
          <w:rFonts w:hint="eastAsia" w:ascii="宋体" w:hAnsi="宋体" w:eastAsia="宋体" w:cs="宋体"/>
          <w:color w:val="auto"/>
          <w:sz w:val="24"/>
          <w:szCs w:val="24"/>
          <w:highlight w:val="none"/>
          <w:lang w:eastAsia="zh-CN"/>
        </w:rPr>
        <w:t>自动监控</w:t>
      </w:r>
      <w:r>
        <w:rPr>
          <w:rFonts w:hint="eastAsia" w:ascii="宋体" w:hAnsi="宋体" w:cs="宋体"/>
          <w:color w:val="auto"/>
          <w:sz w:val="24"/>
          <w:szCs w:val="24"/>
          <w:highlight w:val="none"/>
          <w:lang w:val="en-US" w:eastAsia="zh-CN"/>
        </w:rPr>
        <w:t>系统</w:t>
      </w:r>
      <w:r>
        <w:rPr>
          <w:rFonts w:hint="eastAsia" w:ascii="宋体" w:hAnsi="宋体" w:eastAsia="宋体" w:cs="宋体"/>
          <w:color w:val="auto"/>
          <w:sz w:val="24"/>
          <w:szCs w:val="24"/>
          <w:highlight w:val="none"/>
          <w:lang w:eastAsia="zh-CN"/>
        </w:rPr>
        <w:t>培训合格证书）</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响应文件中</w:t>
      </w:r>
      <w:r>
        <w:rPr>
          <w:rFonts w:hint="eastAsia" w:ascii="宋体" w:hAnsi="宋体" w:eastAsia="宋体" w:cs="宋体"/>
          <w:color w:val="auto"/>
          <w:sz w:val="24"/>
          <w:szCs w:val="24"/>
          <w:highlight w:val="none"/>
        </w:rPr>
        <w:t>提供项目负责人近三月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2024年7-9月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的社保证明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项目负责人在合同期内未经采购人允许不得擅自更换</w:t>
      </w:r>
      <w:r>
        <w:rPr>
          <w:rFonts w:hint="eastAsia" w:ascii="宋体" w:hAnsi="宋体" w:eastAsia="宋体" w:cs="宋体"/>
          <w:color w:val="auto"/>
          <w:sz w:val="24"/>
          <w:szCs w:val="24"/>
          <w:highlight w:val="none"/>
        </w:rPr>
        <w:t>。</w:t>
      </w:r>
    </w:p>
    <w:p w14:paraId="7A2C58A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 项目负责人负责污水处理站具体管理工作，并向采购人汇报污水处理站运营情况，每月提供月度运营情况书面材料；</w:t>
      </w:r>
    </w:p>
    <w:p w14:paraId="7AF6B52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污水站运营维护的主要内容（包括但不限于国家环保部门临时要求及按照行业惯例需要进行的工作）：</w:t>
      </w:r>
    </w:p>
    <w:p w14:paraId="74245E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  维护保养人员根据各个设备的保养周期定期对污水站运行设备进行设备的日常维护、保养、维修等工作，保存设备维护保养记录，形成设备维护记录档案，各种设备要精心保养维护，保证污水达标排放。废水经处理后达到《医疗机构水污染物排放标准》（GB18466-2005）（如有/遇最新政策，按照最新政策执行）预处理达标后排放。（包括环保部门要求的废水、废气、噪声、废弃物的检测等）</w:t>
      </w:r>
      <w:r>
        <w:rPr>
          <w:rFonts w:hint="eastAsia" w:ascii="宋体" w:hAnsi="宋体" w:eastAsia="宋体" w:cs="宋体"/>
          <w:color w:val="auto"/>
          <w:sz w:val="24"/>
          <w:szCs w:val="24"/>
          <w:highlight w:val="none"/>
          <w:lang w:eastAsia="zh-CN"/>
        </w:rPr>
        <w:t>。</w:t>
      </w:r>
    </w:p>
    <w:p w14:paraId="3CB75E8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对污水站设备进行定期计划检修，出具检修报告，设备在日常保养和维修中单一零备件价格在</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00</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以下的，由</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承担；关键部件损坏超过</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00</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元或需要大修、设备正常报废的由双方认可后，业主单位自行购买或由</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代买，如业主单位自行购买的，</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需要密切配合，直至设备的正常运行，自动纳入到</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的外包服务范围中。</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本着节约成本，应修尽修的原则，对于的确需要更换、大修、报废的部件或设备</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须提供相关证明材料。若由运营方操作不当或失误造成关键部件损坏由运营方负责（关键部件损坏</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应提前做好应对方案，保证污水达标且不影响排放）。</w:t>
      </w:r>
    </w:p>
    <w:p w14:paraId="0E30E2A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负责定期对承包范围内污水处理站各种闸阀、护栏、爬梯、管道</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冬季保温</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、曝气系统，泵、消毒设备，格栅、池体等各类设备设施进行检查、维修（包括更换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新增等</w:t>
      </w:r>
      <w:r>
        <w:rPr>
          <w:rFonts w:hint="eastAsia" w:ascii="宋体" w:hAnsi="宋体" w:eastAsia="宋体" w:cs="宋体"/>
          <w:color w:val="auto"/>
          <w:sz w:val="24"/>
          <w:szCs w:val="24"/>
          <w:highlight w:val="none"/>
        </w:rPr>
        <w:t>）及防腐处理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并及时更换损坏零件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金额参照2.2条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格栅机、压滤机每年至少2次维护，压滤机布每年至少更换2次，曝气机滤芯、润滑油每周至少更换1次。</w:t>
      </w:r>
    </w:p>
    <w:p w14:paraId="7CDF19C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药剂要求：中标方根据</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实际情况及相关工艺自行判断药剂药量及用药周期，但必须确保污水处理符合环保要求，消毒方式及药剂等应符合国家、行业相关标准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活性炭至少每年更换2次。</w:t>
      </w:r>
      <w:r>
        <w:rPr>
          <w:rFonts w:hint="eastAsia" w:ascii="宋体" w:hAnsi="宋体" w:eastAsia="宋体" w:cs="宋体"/>
          <w:color w:val="auto"/>
          <w:sz w:val="24"/>
          <w:szCs w:val="24"/>
          <w:highlight w:val="none"/>
        </w:rPr>
        <w:t>（潜在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可提前现场勘察）</w:t>
      </w:r>
    </w:p>
    <w:p w14:paraId="593B92C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水质在线监测系统运行维护管理：</w:t>
      </w:r>
    </w:p>
    <w:p w14:paraId="77AA445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依据水污染源在线监测系统（CODCr、NH3-N、总磷、总氮、PH计）运行技术规范，保证设备正常稳定运行。</w:t>
      </w:r>
    </w:p>
    <w:p w14:paraId="3019CD7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对出水监测仪器定期（每月）进行清理和第三方比对试验（每月）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保留记录备查</w:t>
      </w:r>
      <w:r>
        <w:rPr>
          <w:rFonts w:hint="eastAsia" w:ascii="宋体" w:hAnsi="宋体" w:eastAsia="宋体" w:cs="宋体"/>
          <w:color w:val="auto"/>
          <w:sz w:val="24"/>
          <w:szCs w:val="24"/>
          <w:highlight w:val="none"/>
        </w:rPr>
        <w:t>，保证监测数据的可靠性。</w:t>
      </w:r>
    </w:p>
    <w:p w14:paraId="4A7D6A4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4.3 具体维保内容包含试剂更换、日常校准、易损件更换、比对检测、量值溯源等并配合"三个全覆盖"所要求的所有工作，符合环保部门要求的在线监测设备运维规定。</w:t>
      </w:r>
      <w:r>
        <w:rPr>
          <w:rFonts w:hint="eastAsia" w:ascii="宋体" w:hAnsi="宋体" w:eastAsia="宋体" w:cs="宋体"/>
          <w:color w:val="auto"/>
          <w:sz w:val="24"/>
          <w:szCs w:val="24"/>
          <w:highlight w:val="none"/>
        </w:rPr>
        <w:t>（如有/遇最新政策，按照最新政策执行）</w:t>
      </w:r>
    </w:p>
    <w:p w14:paraId="3F70837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排污许可证监测及管理：</w:t>
      </w:r>
    </w:p>
    <w:p w14:paraId="52A4CD2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依据《医疗机构排污许可证申请与核发技术规范》 HJ1105-2020 和《排污许可证管理暂行规定》（如有/遇最新政策，按照最新政策执行）中规范要求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根据采购人的排污许可证内容（含以后期间调整项目）</w:t>
      </w:r>
      <w:r>
        <w:rPr>
          <w:rFonts w:hint="eastAsia" w:ascii="宋体" w:hAnsi="宋体" w:eastAsia="宋体" w:cs="宋体"/>
          <w:color w:val="auto"/>
          <w:sz w:val="24"/>
          <w:szCs w:val="24"/>
          <w:highlight w:val="none"/>
        </w:rPr>
        <w:t>，对</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污水站的总排口废水、污水处理站的有组织废气、无组织废气、污水处理站周界噪声进行手工检测，并依据手工检测结果和在线监测设备数据进行网上实时填报发布，并按照“安徽省排污单位自行监测信息发布平台”的要求以及“全国排污许可证管理信息平台”制定自行监测方案、自行监测报告、企业填报等平台数据维护、填报、上传等相关工作，同步和环保主管部门做好所有数据的对接工作。所有涉及手工检测项须由具备 CMA 资质的第三方检测机构出具检测报告。</w:t>
      </w:r>
    </w:p>
    <w:p w14:paraId="7296856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负责各级各类机构要求的数据系统维护、填报、上传等（包括但不限于各项平台系统、各项手机/PDA系统、各项接入系统等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包括各类纸质或电子的报表或台账等</w:t>
      </w:r>
      <w:r>
        <w:rPr>
          <w:rFonts w:hint="eastAsia" w:ascii="宋体" w:hAnsi="宋体" w:eastAsia="宋体" w:cs="宋体"/>
          <w:color w:val="auto"/>
          <w:sz w:val="24"/>
          <w:szCs w:val="24"/>
          <w:highlight w:val="none"/>
        </w:rPr>
        <w:t>），包括负责现有的各项填报数据系统及后期各级各类机构添加、更新、更换填报系统等及时、完整的填报工作。</w:t>
      </w:r>
    </w:p>
    <w:p w14:paraId="443FE23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设备比对</w:t>
      </w:r>
    </w:p>
    <w:p w14:paraId="5C5B17F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在线设备(COD、氨氮、总磷、总氮、PH、流量计)月度监测比对。具体维保内容包含但不限于试剂更换、日常校准、易损件更换、比对检测、量值溯源等并配合环保部门所要求的所有工作，符合环保部门要求的在线监测设备运维规定。</w:t>
      </w:r>
    </w:p>
    <w:p w14:paraId="13B192D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现有及后期各级各类机构要求进行的监测比对工作。</w:t>
      </w:r>
    </w:p>
    <w:p w14:paraId="2C9CCB7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污水站废物的管理</w:t>
      </w:r>
    </w:p>
    <w:p w14:paraId="7438806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7.1  填报、收集、管理并委托有资质单位处置设备产生的废液、废试剂、废物、污泥等污水站所有的废物（包括但不限于在线监测设备、污水池等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严格按照规定要求登记、填报纸质或电子的报表或台账及系统平台等</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供应商进场后一周内完成现有危废物的处置，数量预计：污泥（约为1吨）、废试剂（约为4吨）</w:t>
      </w:r>
      <w:r>
        <w:rPr>
          <w:rFonts w:hint="eastAsia" w:ascii="宋体" w:hAnsi="宋体" w:cs="宋体"/>
          <w:color w:val="auto"/>
          <w:sz w:val="24"/>
          <w:szCs w:val="24"/>
          <w:highlight w:val="none"/>
          <w:lang w:eastAsia="zh-CN"/>
        </w:rPr>
        <w:t>）</w:t>
      </w:r>
    </w:p>
    <w:p w14:paraId="675B727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7.2  负责污水站污水池及院化粪池的清洗（可以选择委托有处理资质的第三方进行清淤、清洗等，清洗频率：污水池（浓缩池、集水池等）半年清洗一次，化粪池四个月清洗一次）。</w:t>
      </w:r>
      <w:r>
        <w:rPr>
          <w:rFonts w:hint="eastAsia" w:ascii="宋体" w:hAnsi="宋体" w:cs="宋体"/>
          <w:color w:val="auto"/>
          <w:sz w:val="24"/>
          <w:szCs w:val="24"/>
          <w:highlight w:val="none"/>
          <w:lang w:val="en-US" w:eastAsia="zh-CN"/>
        </w:rPr>
        <w:t>清洗前需要报备，并留存相关记录资料备查。</w:t>
      </w:r>
    </w:p>
    <w:p w14:paraId="13E7977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年度溯源</w:t>
      </w:r>
    </w:p>
    <w:p w14:paraId="5E11E13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按照相关政策对在线设备进行年度溯源核查，并出具鉴定报告，保证各项指标符合国家环保部门相关标准。</w:t>
      </w:r>
    </w:p>
    <w:p w14:paraId="04D35FF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trike/>
          <w:dstrike w:val="0"/>
          <w:color w:val="auto"/>
          <w:sz w:val="24"/>
          <w:szCs w:val="24"/>
          <w:highlight w:val="none"/>
        </w:rPr>
      </w:pPr>
      <w:r>
        <w:rPr>
          <w:rFonts w:hint="eastAsia" w:ascii="宋体" w:hAnsi="宋体" w:eastAsia="宋体" w:cs="宋体"/>
          <w:color w:val="auto"/>
          <w:sz w:val="24"/>
          <w:szCs w:val="24"/>
          <w:highlight w:val="none"/>
        </w:rPr>
        <w:t>8.2  现有及后期各级各类机构要求进行的其他年度溯源工作。</w:t>
      </w:r>
    </w:p>
    <w:p w14:paraId="14D7D04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做好与相关部门对接工作</w:t>
      </w:r>
    </w:p>
    <w:p w14:paraId="1573E80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应做好与环保部门对接，及时了解各级各类环保部门的工作要求（各级各类法律法规，各项通知、提示等）。</w:t>
      </w:r>
    </w:p>
    <w:p w14:paraId="761ECB6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就</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污水站实际情况，与各级各类环保部门做好沟通工作，针对各级各类环保部门提出的各项意见、建议，拟定相关建议、措施报</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批准后报送至相关部门。</w:t>
      </w:r>
      <w:r>
        <w:rPr>
          <w:rFonts w:hint="eastAsia" w:ascii="宋体" w:hAnsi="宋体" w:cs="宋体"/>
          <w:color w:val="auto"/>
          <w:sz w:val="24"/>
          <w:szCs w:val="24"/>
          <w:highlight w:val="none"/>
          <w:lang w:val="en-US" w:eastAsia="zh-CN"/>
        </w:rPr>
        <w:t>遇到各类问题，主动联系环保部门说明原因，根据环保部门（含各类环保部门委托的其他方）意见（口头或书面）进行整改，并按照要求现场整改或者提供书面整改报告。</w:t>
      </w:r>
    </w:p>
    <w:p w14:paraId="685C1A7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.3  负责与上级环保主管部门的业务联系，同时配合环保部门检查做好迎检和接待工作；并及时按环保部门要求进行整改，直至达到环保相关标准规范。</w:t>
      </w:r>
      <w:r>
        <w:rPr>
          <w:rFonts w:hint="eastAsia" w:ascii="宋体" w:hAnsi="宋体" w:cs="宋体"/>
          <w:color w:val="auto"/>
          <w:sz w:val="24"/>
          <w:szCs w:val="24"/>
          <w:highlight w:val="none"/>
          <w:lang w:val="en-US" w:eastAsia="zh-CN"/>
        </w:rPr>
        <w:t>如遇需要采购人到环保部门提交各类材料或情况说明，负责收集、草拟相关材料，配合采购人现场前往环保部门。</w:t>
      </w:r>
    </w:p>
    <w:p w14:paraId="6B5290F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.4  负责配合</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各项迎检工作，做好相关资料整理、制作和收集，符合各项检查的标准和要求（如等级医院创建复审、文明城市创建、安全生产等各项检查）。</w:t>
      </w:r>
    </w:p>
    <w:p w14:paraId="332CEA6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.负责检测、送检工作，按照排污许可证和主管部门（环保主管部门和归口主管部门）的要求对污染物浓度进行检测和分析，并提供第三方有资质的单位出具的检测报告。</w:t>
      </w:r>
    </w:p>
    <w:p w14:paraId="04D47FF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环境应急</w:t>
      </w:r>
      <w:r>
        <w:rPr>
          <w:rFonts w:hint="eastAsia" w:ascii="宋体" w:hAnsi="宋体" w:cs="宋体"/>
          <w:color w:val="auto"/>
          <w:sz w:val="24"/>
          <w:szCs w:val="24"/>
          <w:highlight w:val="none"/>
          <w:lang w:val="en-US" w:eastAsia="zh-CN"/>
        </w:rPr>
        <w:t>演练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修订相关工作</w:t>
      </w:r>
    </w:p>
    <w:p w14:paraId="0D27D9C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负责编制各项安全、操作、工作、人员职责等制度，并制作相应标识标牌，同时保障各项制度落实</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按照环保部门要求制定污水处理站应急预案并按要求</w:t>
      </w:r>
      <w:r>
        <w:rPr>
          <w:rFonts w:hint="eastAsia" w:ascii="宋体" w:hAnsi="宋体" w:cs="宋体"/>
          <w:color w:val="auto"/>
          <w:sz w:val="24"/>
          <w:szCs w:val="24"/>
          <w:highlight w:val="none"/>
          <w:lang w:val="en-US" w:eastAsia="zh-CN"/>
        </w:rPr>
        <w:t>修订</w:t>
      </w:r>
      <w:r>
        <w:rPr>
          <w:rFonts w:hint="eastAsia" w:ascii="宋体" w:hAnsi="宋体" w:eastAsia="宋体" w:cs="宋体"/>
          <w:color w:val="auto"/>
          <w:sz w:val="24"/>
          <w:szCs w:val="24"/>
          <w:highlight w:val="none"/>
        </w:rPr>
        <w:t>备案。至少每年组织一次应急预案演练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至少每年组织一次培训，并做好演练培训记录并留存备查</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负责环境突发事件应急预案的修订</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备案</w:t>
      </w:r>
      <w:r>
        <w:rPr>
          <w:rFonts w:hint="eastAsia" w:ascii="宋体" w:hAnsi="宋体" w:cs="宋体"/>
          <w:color w:val="auto"/>
          <w:sz w:val="24"/>
          <w:szCs w:val="24"/>
          <w:highlight w:val="none"/>
          <w:lang w:val="en-US" w:eastAsia="zh-CN"/>
        </w:rPr>
        <w:t>及演练</w:t>
      </w:r>
      <w:r>
        <w:rPr>
          <w:rFonts w:hint="eastAsia" w:ascii="宋体" w:hAnsi="宋体" w:eastAsia="宋体" w:cs="宋体"/>
          <w:color w:val="auto"/>
          <w:sz w:val="24"/>
          <w:szCs w:val="24"/>
          <w:highlight w:val="none"/>
        </w:rPr>
        <w:t>等工作</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同时按照应急预案要求补充污水站所需的应急物资</w:t>
      </w:r>
      <w:r>
        <w:rPr>
          <w:rFonts w:hint="eastAsia" w:ascii="宋体" w:hAnsi="宋体" w:eastAsia="宋体" w:cs="宋体"/>
          <w:color w:val="auto"/>
          <w:sz w:val="24"/>
          <w:szCs w:val="24"/>
          <w:highlight w:val="none"/>
        </w:rPr>
        <w:t>。</w:t>
      </w:r>
    </w:p>
    <w:p w14:paraId="6276D77F">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w:t>
      </w:r>
      <w:r>
        <w:rPr>
          <w:rFonts w:hint="eastAsia" w:ascii="宋体" w:hAnsi="宋体" w:cs="宋体"/>
          <w:b/>
          <w:bCs/>
          <w:color w:val="auto"/>
          <w:sz w:val="24"/>
          <w:szCs w:val="24"/>
          <w:highlight w:val="none"/>
          <w:lang w:val="en-US" w:eastAsia="zh-CN"/>
        </w:rPr>
        <w:t>.在运营期间，供应商对采购人污水处理各方面承担全部责任，在污水处理站运行期间因环保等原因所产生的责任、损失、费用和罚款等由供应商承担。</w:t>
      </w:r>
    </w:p>
    <w:p w14:paraId="4AD0F398">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三、其他要求</w:t>
      </w:r>
    </w:p>
    <w:p w14:paraId="183AD21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针对下列设备列出对应的维护保养专项方案</w:t>
      </w:r>
    </w:p>
    <w:p w14:paraId="2E24141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机械格栅、潜污泵、风机、消毒投药设备、污泥浓缩脱水机、闸门、电控箱等。</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应根据实际情况对其他设备提出维保方案，后期如有新增、更新、更换等设备的，应及时制定相关的维保方案。制定污水处理站所属设备设施的维保方案（包括但不限于维保周期、维保内容等）报</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同意后实施。</w:t>
      </w:r>
    </w:p>
    <w:p w14:paraId="5FA1753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2.设备检查维修</w:t>
      </w:r>
    </w:p>
    <w:p w14:paraId="43A203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2.1  每天检查巡视污水处理站各项设备不少于2次，特殊情况按院方要求巡视，保障</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污水处理站各项设备正常运行，出现设备故障应立即上报</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，查明原因并及时完成维修，一般故障应在1天以内完成。建立检修记录本，并规范填写，每月收集归档。</w:t>
      </w:r>
      <w:r>
        <w:rPr>
          <w:rFonts w:hint="eastAsia" w:ascii="宋体" w:hAnsi="宋体" w:cs="宋体"/>
          <w:color w:val="auto"/>
          <w:sz w:val="24"/>
          <w:szCs w:val="24"/>
          <w:highlight w:val="none"/>
          <w:lang w:val="en-US" w:eastAsia="zh-CN"/>
        </w:rPr>
        <w:t>在线监测设备每日巡查不少于四次（每隔6小时一次），</w:t>
      </w:r>
      <w:r>
        <w:rPr>
          <w:rFonts w:hint="eastAsia" w:ascii="宋体" w:hAnsi="宋体" w:eastAsia="宋体" w:cs="宋体"/>
          <w:color w:val="auto"/>
          <w:sz w:val="24"/>
          <w:szCs w:val="24"/>
          <w:highlight w:val="none"/>
        </w:rPr>
        <w:t>并</w:t>
      </w:r>
      <w:r>
        <w:rPr>
          <w:rFonts w:hint="eastAsia" w:ascii="宋体" w:hAnsi="宋体" w:cs="宋体"/>
          <w:color w:val="auto"/>
          <w:sz w:val="24"/>
          <w:szCs w:val="24"/>
          <w:highlight w:val="none"/>
          <w:lang w:val="en-US" w:eastAsia="zh-CN"/>
        </w:rPr>
        <w:t>登记台账，</w:t>
      </w:r>
      <w:r>
        <w:rPr>
          <w:rFonts w:hint="eastAsia" w:ascii="宋体" w:hAnsi="宋体" w:eastAsia="宋体" w:cs="宋体"/>
          <w:color w:val="auto"/>
          <w:sz w:val="24"/>
          <w:szCs w:val="24"/>
          <w:highlight w:val="none"/>
        </w:rPr>
        <w:t>规范填写</w:t>
      </w:r>
      <w:r>
        <w:rPr>
          <w:rFonts w:hint="eastAsia" w:ascii="宋体" w:hAnsi="宋体" w:cs="宋体"/>
          <w:color w:val="auto"/>
          <w:sz w:val="24"/>
          <w:szCs w:val="24"/>
          <w:highlight w:val="none"/>
          <w:lang w:val="en-US" w:eastAsia="zh-CN"/>
        </w:rPr>
        <w:t>各项指标数值</w:t>
      </w:r>
      <w:r>
        <w:rPr>
          <w:rFonts w:hint="eastAsia" w:ascii="宋体" w:hAnsi="宋体" w:cs="宋体"/>
          <w:color w:val="auto"/>
          <w:sz w:val="24"/>
          <w:szCs w:val="24"/>
          <w:highlight w:val="none"/>
          <w:lang w:eastAsia="zh-CN"/>
        </w:rPr>
        <w:t>。</w:t>
      </w:r>
    </w:p>
    <w:p w14:paraId="583C905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2.2进场后统计污水处理站现有设备型号数量，寻找对应的设备厂家，</w:t>
      </w:r>
      <w:r>
        <w:rPr>
          <w:rFonts w:hint="eastAsia" w:ascii="宋体" w:hAnsi="宋体" w:cs="宋体"/>
          <w:color w:val="auto"/>
          <w:sz w:val="24"/>
          <w:szCs w:val="24"/>
          <w:highlight w:val="none"/>
          <w:lang w:val="en-US" w:eastAsia="zh-CN"/>
        </w:rPr>
        <w:t>取得联系方式并登记台账</w:t>
      </w:r>
      <w:r>
        <w:rPr>
          <w:rFonts w:hint="eastAsia" w:ascii="宋体" w:hAnsi="宋体" w:eastAsia="宋体" w:cs="宋体"/>
          <w:color w:val="auto"/>
          <w:sz w:val="24"/>
          <w:szCs w:val="24"/>
          <w:highlight w:val="none"/>
        </w:rPr>
        <w:t>，以备设备损坏时能以最快速度恢复污水处理设备正常运行。</w:t>
      </w:r>
    </w:p>
    <w:p w14:paraId="0754F63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现场配备常用维修工具，确保现场操作人员应具备设备维修能力。（维修工具自行配备）</w:t>
      </w:r>
    </w:p>
    <w:p w14:paraId="653963F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水质检测：严格按照排污许可证要求执行。</w:t>
      </w:r>
    </w:p>
    <w:p w14:paraId="7884DED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废物处置</w:t>
      </w:r>
    </w:p>
    <w:p w14:paraId="2DA930B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4.1  栅渣：按照医废管理要求，每日由转运工人到污水处理站收集一次栅渣，维保人员负责同转运工人交接栅渣，核实重量、类别等信息，并签字确认，对信息准确性负责。</w:t>
      </w:r>
    </w:p>
    <w:p w14:paraId="52634AE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污泥：根据污水处理水质情况，利用压滤机适时开展污泥提取，建立污泥提取移交记录，主要记录污泥重量、流向，按照相关处理标准进行处理。</w:t>
      </w:r>
    </w:p>
    <w:p w14:paraId="2814E92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废物处理过程中，操作人员应做好安全、卫生防护，严格准守废物处理流程，做好废物移交记录。</w:t>
      </w:r>
    </w:p>
    <w:p w14:paraId="517470D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负责格栅渣、污泥、使用后的活性炭和废弃填料等一切污水处理站运行产生的危险废物的管理、储存、运输、处置工作，并符合《医疗机构水污染物排放标准（GB18466-2005）》（如有/遇最新政策，按照最新政策执行）中的污泥等控制与处置要求；</w:t>
      </w:r>
    </w:p>
    <w:p w14:paraId="56EBF56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卫生环境：保证污水处理站周围环境干净，办公环境卫生整洁。每周进行一次清洁小卫生，每月进行一次清洁大卫生。及时清理格栅室，收集废物后对栅渣桶及格栅室进行清洗、消毒。负责维护污水站内外，包含池体、道路、设备设施等的外观美化整洁。</w:t>
      </w:r>
    </w:p>
    <w:p w14:paraId="7FD0DCE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人员配置与监管</w:t>
      </w:r>
    </w:p>
    <w:p w14:paraId="2498D1F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人员配备数量满足24小时值班要求，技术人员接到紧急通知能够</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分钟内到场。</w:t>
      </w:r>
    </w:p>
    <w:p w14:paraId="1B08DCD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定期开展人员培训，制定年度培训计划，提交</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备案后，每季度组织一次维保人员集中学习，集中学习需主动接受</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督导，留存学习相关记录备查。</w:t>
      </w:r>
    </w:p>
    <w:p w14:paraId="237FD18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为了保证污水处理站稳定运行，监督</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现场工作情况，要求</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不定期派出检查监管人员对污水处理站抽查，对污水处理站环境、水质数据、现场设备等进行检查考核，</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拟派督导人员应具备丰富的污水处理技术和经验，督导情况留存资料备查。</w:t>
      </w:r>
    </w:p>
    <w:p w14:paraId="16EC7FE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消毒药剂投加系统</w:t>
      </w:r>
    </w:p>
    <w:p w14:paraId="0422E0F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每日标定计量泵投加速度，建立药剂使用登记本，据实登记每日药剂使用情况，根据</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用水情况，适时调整药剂添加量。因其他情况须增加药量时，按环保部门及</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要求增加药剂（应有相关记录）。</w:t>
      </w:r>
    </w:p>
    <w:p w14:paraId="4163F02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编制药剂配送计划，保证不间断半个月的储存药剂。</w:t>
      </w:r>
    </w:p>
    <w:p w14:paraId="11D35A3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污水处理站运行能力分析：每年开展一次污水处理站处理能力分析，并出具相关分析报告，分析报告中需明确各处理池功能，各排放指标主要处理环节及工艺原理，各排放指标处理前及后结果差异。</w:t>
      </w:r>
    </w:p>
    <w:p w14:paraId="20352AE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cs="宋体"/>
          <w:color w:val="auto"/>
          <w:sz w:val="24"/>
          <w:szCs w:val="24"/>
          <w:highlight w:val="none"/>
          <w:lang w:val="en-US" w:eastAsia="zh-CN"/>
        </w:rPr>
        <w:t>.相关风险</w:t>
      </w:r>
      <w:r>
        <w:rPr>
          <w:rFonts w:hint="eastAsia" w:ascii="宋体" w:hAnsi="宋体" w:eastAsia="宋体" w:cs="宋体"/>
          <w:color w:val="auto"/>
          <w:sz w:val="24"/>
          <w:szCs w:val="24"/>
          <w:highlight w:val="none"/>
        </w:rPr>
        <w:t>承担</w:t>
      </w:r>
    </w:p>
    <w:p w14:paraId="0302C03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管理，接受各级</w:t>
      </w:r>
      <w:r>
        <w:rPr>
          <w:rFonts w:hint="eastAsia" w:ascii="宋体" w:hAnsi="宋体" w:cs="宋体"/>
          <w:color w:val="auto"/>
          <w:sz w:val="24"/>
          <w:szCs w:val="24"/>
          <w:highlight w:val="none"/>
          <w:lang w:eastAsia="zh-CN"/>
        </w:rPr>
        <w:t>环保等部门</w:t>
      </w:r>
      <w:r>
        <w:rPr>
          <w:rFonts w:hint="eastAsia" w:ascii="宋体" w:hAnsi="宋体" w:eastAsia="宋体" w:cs="宋体"/>
          <w:color w:val="auto"/>
          <w:sz w:val="24"/>
          <w:szCs w:val="24"/>
          <w:highlight w:val="none"/>
        </w:rPr>
        <w:t>的监管。污水处理运行维护缺陷考核包括：重大缺陷、一般缺陷。重大缺陷主要包括：水质处理结果经第三方监测不达标一次、设备故障超5天未完成维修恢复正常运行。一般缺陷主要包括：设备故障超2天未完成维修恢复正常运行、保养及检修工作未按照双方约定开展、其他未按照双方约定开展的事项。重大缺陷处罚2000元/次，一般缺陷处罚500元/次，重大缺陷发生2次或一般缺陷发生3次，</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有权解除合同。</w:t>
      </w:r>
    </w:p>
    <w:p w14:paraId="1E133A9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val="en-US" w:eastAsia="zh-CN"/>
        </w:rPr>
        <w:t>.</w:t>
      </w:r>
      <w:r>
        <w:rPr>
          <w:rFonts w:hint="eastAsia" w:ascii="宋体" w:hAnsi="宋体" w:cs="宋体"/>
          <w:b/>
          <w:bCs/>
          <w:color w:val="auto"/>
          <w:sz w:val="24"/>
          <w:szCs w:val="24"/>
          <w:highlight w:val="none"/>
          <w:lang w:val="en-US" w:eastAsia="zh-CN"/>
        </w:rPr>
        <w:t>文件</w:t>
      </w:r>
      <w:r>
        <w:rPr>
          <w:rFonts w:hint="eastAsia" w:ascii="宋体" w:hAnsi="宋体" w:eastAsia="宋体" w:cs="宋体"/>
          <w:b/>
          <w:bCs/>
          <w:color w:val="auto"/>
          <w:sz w:val="24"/>
          <w:szCs w:val="24"/>
          <w:highlight w:val="none"/>
        </w:rPr>
        <w:t>内容中的检测</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维护、更换</w:t>
      </w:r>
      <w:r>
        <w:rPr>
          <w:rFonts w:hint="eastAsia" w:ascii="宋体" w:hAnsi="宋体" w:eastAsia="宋体" w:cs="宋体"/>
          <w:b/>
          <w:bCs/>
          <w:color w:val="auto"/>
          <w:sz w:val="24"/>
          <w:szCs w:val="24"/>
          <w:highlight w:val="none"/>
        </w:rPr>
        <w:t>频率均为最少次数，如遇政策要求</w:t>
      </w:r>
      <w:r>
        <w:rPr>
          <w:rFonts w:hint="eastAsia" w:ascii="宋体" w:hAnsi="宋体" w:cs="宋体"/>
          <w:b/>
          <w:bCs/>
          <w:color w:val="auto"/>
          <w:sz w:val="24"/>
          <w:szCs w:val="24"/>
          <w:highlight w:val="none"/>
          <w:lang w:val="en-US" w:eastAsia="zh-CN"/>
        </w:rPr>
        <w:t>或采购人根据实际情况要求</w:t>
      </w:r>
      <w:r>
        <w:rPr>
          <w:rFonts w:hint="eastAsia" w:ascii="宋体" w:hAnsi="宋体" w:eastAsia="宋体" w:cs="宋体"/>
          <w:b/>
          <w:bCs/>
          <w:color w:val="auto"/>
          <w:sz w:val="24"/>
          <w:szCs w:val="24"/>
          <w:highlight w:val="none"/>
        </w:rPr>
        <w:t>增加次数的须按照要求增加检测</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维护、更换</w:t>
      </w:r>
      <w:r>
        <w:rPr>
          <w:rFonts w:hint="eastAsia" w:ascii="宋体" w:hAnsi="宋体" w:eastAsia="宋体" w:cs="宋体"/>
          <w:b/>
          <w:bCs/>
          <w:color w:val="auto"/>
          <w:sz w:val="24"/>
          <w:szCs w:val="24"/>
          <w:highlight w:val="none"/>
        </w:rPr>
        <w:t>频率。</w:t>
      </w:r>
    </w:p>
    <w:p w14:paraId="2DBC4A0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在运营过程中</w:t>
      </w:r>
      <w:r>
        <w:rPr>
          <w:rFonts w:hint="eastAsia" w:ascii="宋体" w:hAnsi="宋体" w:cs="宋体"/>
          <w:color w:val="auto"/>
          <w:sz w:val="24"/>
          <w:szCs w:val="24"/>
          <w:highlight w:val="none"/>
          <w:lang w:eastAsia="zh-CN"/>
        </w:rPr>
        <w:t>涉及采购人</w:t>
      </w:r>
      <w:r>
        <w:rPr>
          <w:rFonts w:hint="eastAsia" w:ascii="宋体" w:hAnsi="宋体" w:eastAsia="宋体" w:cs="宋体"/>
          <w:color w:val="auto"/>
          <w:sz w:val="24"/>
          <w:szCs w:val="24"/>
          <w:highlight w:val="none"/>
        </w:rPr>
        <w:t>的所有设备、系统、资料、记录、数据等信息，在合同结束时应全部移交给</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或</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指定的其他第三方（含下一轮中标供应商），因</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缺失、遗漏的，要求</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限期补齐后完整提供，并保留追究法律责任的权利。</w:t>
      </w:r>
    </w:p>
    <w:p w14:paraId="2436CE8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负责污水处理站生产运营中的安全工作，包括污水站各类原材料搬运、储存和使用中的安全，管道、池体和设备设施维修、维护工作中的安全等一切生产运营安全工作；做好安全预防工作、配备安全防护装备；如在运行期间发生安全生产事故，产生的责任、损失、费用和罚款由供应商承担。运营的人员在进行有限空间作业、动火作业等特种作业时必须提前报备履行相关手续且作业现场不少于两人（修理时须有2人（含）及以上人员在场，且需持有特种作业操作证）。</w:t>
      </w:r>
    </w:p>
    <w:p w14:paraId="794804B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13.供应商应对监控设备做好巡查，每日核对监控时间是否准确，是否满足环保部门相关要求（存储、查看、时间等），并在巡查记录中登记完备。</w:t>
      </w:r>
    </w:p>
    <w:p w14:paraId="2F4A54D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r>
        <w:rPr>
          <w:rFonts w:hint="eastAsia" w:ascii="宋体" w:hAnsi="宋体" w:cs="宋体"/>
          <w:color w:val="auto"/>
          <w:sz w:val="24"/>
          <w:szCs w:val="24"/>
          <w:highlight w:val="none"/>
          <w:lang w:val="en-US" w:eastAsia="zh-CN"/>
        </w:rPr>
        <w:t>.成交供应商须于合同签订后3个日历天内完成与现有运营方的交接工作，立即开展排污许可证上要求的所有项目检测（包含但不限于废水、废气、排气口、厂界噪声等，供应商可于投标前现场勘探具体内容，不得在中标后以未了解排污许可证内容为由拒绝签订合同），并严格按照排污许可证要求的频率进行。</w:t>
      </w:r>
    </w:p>
    <w:p w14:paraId="0929A09E">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四、价格及其组成</w:t>
      </w:r>
    </w:p>
    <w:p w14:paraId="5817C26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预算价：54万元/年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w:t>
      </w:r>
      <w:r>
        <w:rPr>
          <w:rFonts w:hint="eastAsia" w:ascii="宋体" w:hAnsi="宋体" w:cs="宋体"/>
          <w:color w:val="auto"/>
          <w:sz w:val="24"/>
          <w:szCs w:val="24"/>
          <w:highlight w:val="none"/>
          <w:lang w:val="en-US" w:eastAsia="zh-CN"/>
        </w:rPr>
        <w:t>上述</w:t>
      </w:r>
      <w:r>
        <w:rPr>
          <w:rFonts w:hint="eastAsia" w:ascii="宋体" w:hAnsi="宋体" w:eastAsia="宋体" w:cs="宋体"/>
          <w:color w:val="auto"/>
          <w:sz w:val="24"/>
          <w:szCs w:val="24"/>
          <w:highlight w:val="none"/>
        </w:rPr>
        <w:t>污水处理站运营服务外包所发生的一切费用，包括但不限于人员工资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差旅食宿</w:t>
      </w:r>
      <w:r>
        <w:rPr>
          <w:rFonts w:hint="eastAsia" w:ascii="宋体" w:hAnsi="宋体" w:eastAsia="宋体" w:cs="宋体"/>
          <w:color w:val="auto"/>
          <w:sz w:val="24"/>
          <w:szCs w:val="24"/>
          <w:highlight w:val="none"/>
        </w:rPr>
        <w:t>、药剂费、危废处置费用、清理费、检测费、设备维修保养</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材料费、耗材费</w:t>
      </w:r>
      <w:r>
        <w:rPr>
          <w:rFonts w:hint="eastAsia" w:ascii="宋体" w:hAnsi="宋体" w:eastAsia="宋体" w:cs="宋体"/>
          <w:color w:val="auto"/>
          <w:sz w:val="24"/>
          <w:szCs w:val="24"/>
          <w:highlight w:val="none"/>
        </w:rPr>
        <w:t>、办公用品、奖金、服装、保险、福利、加班费、管理费、企业利润、税金、在线监测维保费、</w:t>
      </w:r>
      <w:r>
        <w:rPr>
          <w:rFonts w:hint="eastAsia" w:ascii="宋体" w:hAnsi="宋体" w:cs="宋体"/>
          <w:color w:val="auto"/>
          <w:sz w:val="24"/>
          <w:szCs w:val="24"/>
          <w:highlight w:val="none"/>
          <w:lang w:eastAsia="zh-CN"/>
        </w:rPr>
        <w:t>环境突发事件应急</w:t>
      </w:r>
      <w:r>
        <w:rPr>
          <w:rFonts w:hint="eastAsia" w:ascii="宋体" w:hAnsi="宋体" w:eastAsia="宋体" w:cs="宋体"/>
          <w:color w:val="auto"/>
          <w:sz w:val="24"/>
          <w:szCs w:val="24"/>
          <w:highlight w:val="none"/>
        </w:rPr>
        <w:t>预案</w:t>
      </w:r>
      <w:r>
        <w:rPr>
          <w:rFonts w:hint="eastAsia" w:ascii="宋体" w:hAnsi="宋体" w:cs="宋体"/>
          <w:color w:val="auto"/>
          <w:sz w:val="24"/>
          <w:szCs w:val="24"/>
          <w:highlight w:val="none"/>
          <w:lang w:eastAsia="zh-CN"/>
        </w:rPr>
        <w:t>修订和演练</w:t>
      </w:r>
      <w:r>
        <w:rPr>
          <w:rFonts w:hint="eastAsia" w:ascii="宋体" w:hAnsi="宋体" w:cs="宋体"/>
          <w:color w:val="auto"/>
          <w:sz w:val="24"/>
          <w:szCs w:val="24"/>
          <w:highlight w:val="none"/>
          <w:lang w:val="en-US" w:eastAsia="zh-CN"/>
        </w:rPr>
        <w:t>及物资</w:t>
      </w:r>
      <w:r>
        <w:rPr>
          <w:rFonts w:hint="eastAsia" w:ascii="宋体" w:hAnsi="宋体" w:eastAsia="宋体" w:cs="宋体"/>
          <w:color w:val="auto"/>
          <w:sz w:val="24"/>
          <w:szCs w:val="24"/>
          <w:highlight w:val="none"/>
        </w:rPr>
        <w:t>等，均由</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承担。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应考虑物价上涨的因素，及各种环保、安全和经济风险。</w:t>
      </w:r>
      <w:r>
        <w:rPr>
          <w:rFonts w:hint="eastAsia" w:ascii="宋体" w:hAnsi="宋体" w:cs="宋体"/>
          <w:color w:val="auto"/>
          <w:sz w:val="24"/>
          <w:szCs w:val="24"/>
          <w:highlight w:val="none"/>
          <w:lang w:val="en-US" w:eastAsia="zh-CN"/>
        </w:rPr>
        <w:t>包括现有及以后可预见和不可预见的各级各类机构的所有要求。</w:t>
      </w:r>
    </w:p>
    <w:p w14:paraId="0E303A2B">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附件：考核方案</w:t>
      </w:r>
    </w:p>
    <w:p w14:paraId="4DA13C4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sectPr>
          <w:headerReference r:id="rId3" w:type="default"/>
          <w:footerReference r:id="rId5" w:type="default"/>
          <w:headerReference r:id="rId4" w:type="even"/>
          <w:footerReference r:id="rId6" w:type="even"/>
          <w:pgSz w:w="11906" w:h="16838"/>
          <w:pgMar w:top="1440" w:right="1531" w:bottom="1440" w:left="1531" w:header="851" w:footer="992" w:gutter="0"/>
          <w:pgNumType w:fmt="decimal"/>
          <w:cols w:space="425" w:num="1"/>
          <w:docGrid w:type="lines" w:linePitch="312" w:charSpace="0"/>
        </w:sectPr>
      </w:pPr>
    </w:p>
    <w:p w14:paraId="4860D076">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p>
    <w:p w14:paraId="2BD2418A">
      <w:pPr>
        <w:jc w:val="center"/>
        <w:rPr>
          <w:rFonts w:hint="eastAsia" w:ascii="宋体" w:hAnsi="宋体" w:eastAsia="宋体" w:cs="宋体"/>
          <w:color w:val="auto"/>
          <w:sz w:val="24"/>
          <w:szCs w:val="24"/>
          <w:highlight w:val="none"/>
        </w:rPr>
      </w:pPr>
      <w:r>
        <w:rPr>
          <w:rFonts w:hint="eastAsia" w:ascii="宋体" w:hAnsi="宋体" w:cs="宋体"/>
          <w:b/>
          <w:color w:val="auto"/>
          <w:kern w:val="0"/>
          <w:sz w:val="28"/>
          <w:szCs w:val="28"/>
          <w:highlight w:val="none"/>
          <w:lang w:val="en-US" w:eastAsia="zh-CN" w:bidi="ar-SA"/>
        </w:rPr>
        <w:t>(项目名称)</w:t>
      </w:r>
      <w:r>
        <w:rPr>
          <w:rFonts w:hint="eastAsia" w:ascii="宋体" w:hAnsi="宋体" w:eastAsia="宋体" w:cs="宋体"/>
          <w:b/>
          <w:color w:val="auto"/>
          <w:kern w:val="0"/>
          <w:sz w:val="28"/>
          <w:szCs w:val="28"/>
          <w:highlight w:val="none"/>
          <w:lang w:val="en-US" w:eastAsia="zh-CN" w:bidi="ar-SA"/>
        </w:rPr>
        <w:t>考核方案</w:t>
      </w:r>
    </w:p>
    <w:tbl>
      <w:tblPr>
        <w:tblStyle w:val="35"/>
        <w:tblW w:w="44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7930"/>
        <w:gridCol w:w="1584"/>
        <w:gridCol w:w="1043"/>
        <w:gridCol w:w="1144"/>
      </w:tblGrid>
      <w:tr w14:paraId="250F3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4" w:type="pct"/>
            <w:vAlign w:val="center"/>
          </w:tcPr>
          <w:p w14:paraId="29DA221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148" w:type="pct"/>
            <w:vAlign w:val="center"/>
          </w:tcPr>
          <w:p w14:paraId="3393425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工作范围及内容</w:t>
            </w:r>
          </w:p>
        </w:tc>
        <w:tc>
          <w:tcPr>
            <w:tcW w:w="629" w:type="pct"/>
            <w:vAlign w:val="center"/>
          </w:tcPr>
          <w:p w14:paraId="2C8B78C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考核分值</w:t>
            </w:r>
          </w:p>
        </w:tc>
        <w:tc>
          <w:tcPr>
            <w:tcW w:w="414" w:type="pct"/>
            <w:vAlign w:val="center"/>
          </w:tcPr>
          <w:p w14:paraId="1423911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得分</w:t>
            </w:r>
          </w:p>
        </w:tc>
        <w:tc>
          <w:tcPr>
            <w:tcW w:w="454" w:type="pct"/>
            <w:vAlign w:val="center"/>
          </w:tcPr>
          <w:p w14:paraId="6F65B30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0E7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54" w:type="pct"/>
            <w:vAlign w:val="center"/>
          </w:tcPr>
          <w:p w14:paraId="55C8660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148" w:type="pct"/>
            <w:vAlign w:val="center"/>
          </w:tcPr>
          <w:p w14:paraId="4B7C2AD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人员：到岗安排、值班、相关登记、记录和及时响应等情况</w:t>
            </w:r>
          </w:p>
        </w:tc>
        <w:tc>
          <w:tcPr>
            <w:tcW w:w="629" w:type="pct"/>
            <w:vAlign w:val="center"/>
          </w:tcPr>
          <w:p w14:paraId="05CD6A3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414" w:type="pct"/>
            <w:vAlign w:val="center"/>
          </w:tcPr>
          <w:p w14:paraId="6D186E95">
            <w:pPr>
              <w:jc w:val="center"/>
              <w:rPr>
                <w:rFonts w:hint="eastAsia" w:ascii="宋体" w:hAnsi="宋体" w:eastAsia="宋体" w:cs="宋体"/>
                <w:color w:val="auto"/>
                <w:sz w:val="24"/>
                <w:szCs w:val="24"/>
                <w:highlight w:val="none"/>
              </w:rPr>
            </w:pPr>
          </w:p>
        </w:tc>
        <w:tc>
          <w:tcPr>
            <w:tcW w:w="454" w:type="pct"/>
            <w:vAlign w:val="center"/>
          </w:tcPr>
          <w:p w14:paraId="54C0490F">
            <w:pPr>
              <w:jc w:val="center"/>
              <w:rPr>
                <w:rFonts w:hint="eastAsia" w:ascii="宋体" w:hAnsi="宋体" w:eastAsia="宋体" w:cs="宋体"/>
                <w:color w:val="auto"/>
                <w:sz w:val="24"/>
                <w:szCs w:val="24"/>
                <w:highlight w:val="none"/>
              </w:rPr>
            </w:pPr>
          </w:p>
        </w:tc>
      </w:tr>
      <w:tr w14:paraId="68E9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54" w:type="pct"/>
            <w:vAlign w:val="center"/>
          </w:tcPr>
          <w:p w14:paraId="7C79B75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148" w:type="pct"/>
            <w:vAlign w:val="center"/>
          </w:tcPr>
          <w:p w14:paraId="5F4DA87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运营维护情况：保养维护记录、污水达标排放情况等</w:t>
            </w:r>
          </w:p>
        </w:tc>
        <w:tc>
          <w:tcPr>
            <w:tcW w:w="629" w:type="pct"/>
            <w:vAlign w:val="center"/>
          </w:tcPr>
          <w:p w14:paraId="70C3E3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414" w:type="pct"/>
            <w:vAlign w:val="center"/>
          </w:tcPr>
          <w:p w14:paraId="6EB73D06">
            <w:pPr>
              <w:jc w:val="center"/>
              <w:rPr>
                <w:rFonts w:hint="eastAsia" w:ascii="宋体" w:hAnsi="宋体" w:eastAsia="宋体" w:cs="宋体"/>
                <w:color w:val="auto"/>
                <w:sz w:val="24"/>
                <w:szCs w:val="24"/>
                <w:highlight w:val="none"/>
              </w:rPr>
            </w:pPr>
          </w:p>
        </w:tc>
        <w:tc>
          <w:tcPr>
            <w:tcW w:w="454" w:type="pct"/>
            <w:vAlign w:val="center"/>
          </w:tcPr>
          <w:p w14:paraId="633445F8">
            <w:pPr>
              <w:jc w:val="center"/>
              <w:rPr>
                <w:rFonts w:hint="eastAsia" w:ascii="宋体" w:hAnsi="宋体" w:eastAsia="宋体" w:cs="宋体"/>
                <w:color w:val="auto"/>
                <w:sz w:val="24"/>
                <w:szCs w:val="24"/>
                <w:highlight w:val="none"/>
              </w:rPr>
            </w:pPr>
          </w:p>
        </w:tc>
      </w:tr>
      <w:tr w14:paraId="2511C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54" w:type="pct"/>
            <w:vAlign w:val="center"/>
          </w:tcPr>
          <w:p w14:paraId="2D6FE1A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148" w:type="pct"/>
            <w:vAlign w:val="center"/>
          </w:tcPr>
          <w:p w14:paraId="2039E6F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用药药量及用药周期是否合理，是否符合国家、行业相关标准等</w:t>
            </w:r>
          </w:p>
        </w:tc>
        <w:tc>
          <w:tcPr>
            <w:tcW w:w="629" w:type="pct"/>
            <w:vAlign w:val="center"/>
          </w:tcPr>
          <w:p w14:paraId="6F22CE0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14" w:type="pct"/>
            <w:vAlign w:val="center"/>
          </w:tcPr>
          <w:p w14:paraId="426FB201">
            <w:pPr>
              <w:jc w:val="center"/>
              <w:rPr>
                <w:rFonts w:hint="eastAsia" w:ascii="宋体" w:hAnsi="宋体" w:eastAsia="宋体" w:cs="宋体"/>
                <w:color w:val="auto"/>
                <w:sz w:val="24"/>
                <w:szCs w:val="24"/>
                <w:highlight w:val="none"/>
              </w:rPr>
            </w:pPr>
          </w:p>
        </w:tc>
        <w:tc>
          <w:tcPr>
            <w:tcW w:w="454" w:type="pct"/>
            <w:vAlign w:val="center"/>
          </w:tcPr>
          <w:p w14:paraId="41088F2E">
            <w:pPr>
              <w:jc w:val="center"/>
              <w:rPr>
                <w:rFonts w:hint="eastAsia" w:ascii="宋体" w:hAnsi="宋体" w:eastAsia="宋体" w:cs="宋体"/>
                <w:color w:val="auto"/>
                <w:sz w:val="24"/>
                <w:szCs w:val="24"/>
                <w:highlight w:val="none"/>
              </w:rPr>
            </w:pPr>
          </w:p>
        </w:tc>
      </w:tr>
      <w:tr w14:paraId="1EAEC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54" w:type="pct"/>
            <w:vAlign w:val="center"/>
          </w:tcPr>
          <w:p w14:paraId="51B7684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148" w:type="pct"/>
            <w:vAlign w:val="center"/>
          </w:tcPr>
          <w:p w14:paraId="582E987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在线监测系统运维：设备是否运行情况，是否定期比对报告等</w:t>
            </w:r>
          </w:p>
        </w:tc>
        <w:tc>
          <w:tcPr>
            <w:tcW w:w="629" w:type="pct"/>
            <w:vAlign w:val="center"/>
          </w:tcPr>
          <w:p w14:paraId="43C8D5A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414" w:type="pct"/>
            <w:vAlign w:val="center"/>
          </w:tcPr>
          <w:p w14:paraId="4A65C95B">
            <w:pPr>
              <w:jc w:val="center"/>
              <w:rPr>
                <w:rFonts w:hint="eastAsia" w:ascii="宋体" w:hAnsi="宋体" w:eastAsia="宋体" w:cs="宋体"/>
                <w:color w:val="auto"/>
                <w:sz w:val="24"/>
                <w:szCs w:val="24"/>
                <w:highlight w:val="none"/>
              </w:rPr>
            </w:pPr>
          </w:p>
        </w:tc>
        <w:tc>
          <w:tcPr>
            <w:tcW w:w="454" w:type="pct"/>
            <w:vAlign w:val="center"/>
          </w:tcPr>
          <w:p w14:paraId="2A1EDAF1">
            <w:pPr>
              <w:jc w:val="center"/>
              <w:rPr>
                <w:rFonts w:hint="eastAsia" w:ascii="宋体" w:hAnsi="宋体" w:eastAsia="宋体" w:cs="宋体"/>
                <w:color w:val="auto"/>
                <w:sz w:val="24"/>
                <w:szCs w:val="24"/>
                <w:highlight w:val="none"/>
              </w:rPr>
            </w:pPr>
          </w:p>
        </w:tc>
      </w:tr>
      <w:tr w14:paraId="35416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354" w:type="pct"/>
            <w:vAlign w:val="center"/>
          </w:tcPr>
          <w:p w14:paraId="377189B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148" w:type="pct"/>
            <w:vAlign w:val="center"/>
          </w:tcPr>
          <w:p w14:paraId="634CB04E">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排污许可监测及管理</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填报及时、准确、完整，手工监测报告等</w:t>
            </w:r>
          </w:p>
        </w:tc>
        <w:tc>
          <w:tcPr>
            <w:tcW w:w="629" w:type="pct"/>
            <w:vAlign w:val="center"/>
          </w:tcPr>
          <w:p w14:paraId="2B65DFC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414" w:type="pct"/>
            <w:vAlign w:val="center"/>
          </w:tcPr>
          <w:p w14:paraId="5BA69CC9">
            <w:pPr>
              <w:jc w:val="center"/>
              <w:rPr>
                <w:rFonts w:hint="eastAsia" w:ascii="宋体" w:hAnsi="宋体" w:eastAsia="宋体" w:cs="宋体"/>
                <w:color w:val="auto"/>
                <w:sz w:val="24"/>
                <w:szCs w:val="24"/>
                <w:highlight w:val="none"/>
              </w:rPr>
            </w:pPr>
          </w:p>
        </w:tc>
        <w:tc>
          <w:tcPr>
            <w:tcW w:w="454" w:type="pct"/>
            <w:vAlign w:val="center"/>
          </w:tcPr>
          <w:p w14:paraId="06F3AF1F">
            <w:pPr>
              <w:jc w:val="center"/>
              <w:rPr>
                <w:rFonts w:hint="eastAsia" w:ascii="宋体" w:hAnsi="宋体" w:eastAsia="宋体" w:cs="宋体"/>
                <w:color w:val="auto"/>
                <w:sz w:val="24"/>
                <w:szCs w:val="24"/>
                <w:highlight w:val="none"/>
              </w:rPr>
            </w:pPr>
          </w:p>
        </w:tc>
      </w:tr>
      <w:tr w14:paraId="39E52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354" w:type="pct"/>
            <w:vAlign w:val="center"/>
          </w:tcPr>
          <w:p w14:paraId="4757712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148" w:type="pct"/>
            <w:vAlign w:val="center"/>
          </w:tcPr>
          <w:p w14:paraId="734F015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设备比对完成情况，是否提供相应的比对结果等</w:t>
            </w:r>
          </w:p>
        </w:tc>
        <w:tc>
          <w:tcPr>
            <w:tcW w:w="629" w:type="pct"/>
            <w:vAlign w:val="center"/>
          </w:tcPr>
          <w:p w14:paraId="0829A55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414" w:type="pct"/>
            <w:vAlign w:val="center"/>
          </w:tcPr>
          <w:p w14:paraId="26E68FC3">
            <w:pPr>
              <w:jc w:val="center"/>
              <w:rPr>
                <w:rFonts w:hint="eastAsia" w:ascii="宋体" w:hAnsi="宋体" w:eastAsia="宋体" w:cs="宋体"/>
                <w:color w:val="auto"/>
                <w:sz w:val="24"/>
                <w:szCs w:val="24"/>
                <w:highlight w:val="none"/>
              </w:rPr>
            </w:pPr>
          </w:p>
        </w:tc>
        <w:tc>
          <w:tcPr>
            <w:tcW w:w="454" w:type="pct"/>
            <w:vAlign w:val="center"/>
          </w:tcPr>
          <w:p w14:paraId="396ED404">
            <w:pPr>
              <w:jc w:val="center"/>
              <w:rPr>
                <w:rFonts w:hint="eastAsia" w:ascii="宋体" w:hAnsi="宋体" w:eastAsia="宋体" w:cs="宋体"/>
                <w:color w:val="auto"/>
                <w:sz w:val="24"/>
                <w:szCs w:val="24"/>
                <w:highlight w:val="none"/>
              </w:rPr>
            </w:pPr>
          </w:p>
        </w:tc>
      </w:tr>
      <w:tr w14:paraId="6F817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54" w:type="pct"/>
            <w:vAlign w:val="center"/>
          </w:tcPr>
          <w:p w14:paraId="6524925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148" w:type="pct"/>
            <w:vAlign w:val="center"/>
          </w:tcPr>
          <w:p w14:paraId="6D90CFF9">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废物的管理的及时性，是否按照要求进行处置废物等</w:t>
            </w:r>
          </w:p>
        </w:tc>
        <w:tc>
          <w:tcPr>
            <w:tcW w:w="629" w:type="pct"/>
            <w:vAlign w:val="center"/>
          </w:tcPr>
          <w:p w14:paraId="17DD6F0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14" w:type="pct"/>
            <w:vAlign w:val="center"/>
          </w:tcPr>
          <w:p w14:paraId="59679620">
            <w:pPr>
              <w:jc w:val="center"/>
              <w:rPr>
                <w:rFonts w:hint="eastAsia" w:ascii="宋体" w:hAnsi="宋体" w:eastAsia="宋体" w:cs="宋体"/>
                <w:color w:val="auto"/>
                <w:sz w:val="24"/>
                <w:szCs w:val="24"/>
                <w:highlight w:val="none"/>
              </w:rPr>
            </w:pPr>
          </w:p>
        </w:tc>
        <w:tc>
          <w:tcPr>
            <w:tcW w:w="454" w:type="pct"/>
            <w:vAlign w:val="center"/>
          </w:tcPr>
          <w:p w14:paraId="6AE13AF1">
            <w:pPr>
              <w:jc w:val="center"/>
              <w:rPr>
                <w:rFonts w:hint="eastAsia" w:ascii="宋体" w:hAnsi="宋体" w:eastAsia="宋体" w:cs="宋体"/>
                <w:color w:val="auto"/>
                <w:sz w:val="24"/>
                <w:szCs w:val="24"/>
                <w:highlight w:val="none"/>
              </w:rPr>
            </w:pPr>
          </w:p>
        </w:tc>
      </w:tr>
      <w:tr w14:paraId="67257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54" w:type="pct"/>
            <w:vAlign w:val="center"/>
          </w:tcPr>
          <w:p w14:paraId="0FF2582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148" w:type="pct"/>
            <w:vAlign w:val="center"/>
          </w:tcPr>
          <w:p w14:paraId="623A4F8A">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年度溯源的完成情况，及时出具鉴定报告，报告结果达标情况等</w:t>
            </w:r>
          </w:p>
        </w:tc>
        <w:tc>
          <w:tcPr>
            <w:tcW w:w="629" w:type="pct"/>
            <w:vAlign w:val="center"/>
          </w:tcPr>
          <w:p w14:paraId="116C47A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414" w:type="pct"/>
            <w:vAlign w:val="center"/>
          </w:tcPr>
          <w:p w14:paraId="2D8AE368">
            <w:pPr>
              <w:jc w:val="center"/>
              <w:rPr>
                <w:rFonts w:hint="eastAsia" w:ascii="宋体" w:hAnsi="宋体" w:eastAsia="宋体" w:cs="宋体"/>
                <w:color w:val="auto"/>
                <w:sz w:val="24"/>
                <w:szCs w:val="24"/>
                <w:highlight w:val="none"/>
              </w:rPr>
            </w:pPr>
          </w:p>
        </w:tc>
        <w:tc>
          <w:tcPr>
            <w:tcW w:w="454" w:type="pct"/>
            <w:vAlign w:val="center"/>
          </w:tcPr>
          <w:p w14:paraId="4044258A">
            <w:pPr>
              <w:jc w:val="center"/>
              <w:rPr>
                <w:rFonts w:hint="eastAsia" w:ascii="宋体" w:hAnsi="宋体" w:eastAsia="宋体" w:cs="宋体"/>
                <w:color w:val="auto"/>
                <w:sz w:val="24"/>
                <w:szCs w:val="24"/>
                <w:highlight w:val="none"/>
              </w:rPr>
            </w:pPr>
          </w:p>
        </w:tc>
      </w:tr>
      <w:tr w14:paraId="05827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354" w:type="pct"/>
            <w:vAlign w:val="center"/>
          </w:tcPr>
          <w:p w14:paraId="74ACCA7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3148" w:type="pct"/>
            <w:vAlign w:val="center"/>
          </w:tcPr>
          <w:p w14:paraId="5D3712A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与相关部门对接情况，是否收到相关部门对</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和外包单位的处罚等</w:t>
            </w:r>
          </w:p>
        </w:tc>
        <w:tc>
          <w:tcPr>
            <w:tcW w:w="629" w:type="pct"/>
            <w:vAlign w:val="center"/>
          </w:tcPr>
          <w:p w14:paraId="413379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414" w:type="pct"/>
            <w:vAlign w:val="center"/>
          </w:tcPr>
          <w:p w14:paraId="15749898">
            <w:pPr>
              <w:jc w:val="center"/>
              <w:rPr>
                <w:rFonts w:hint="eastAsia" w:ascii="宋体" w:hAnsi="宋体" w:eastAsia="宋体" w:cs="宋体"/>
                <w:color w:val="auto"/>
                <w:sz w:val="24"/>
                <w:szCs w:val="24"/>
                <w:highlight w:val="none"/>
              </w:rPr>
            </w:pPr>
          </w:p>
        </w:tc>
        <w:tc>
          <w:tcPr>
            <w:tcW w:w="454" w:type="pct"/>
            <w:vAlign w:val="center"/>
          </w:tcPr>
          <w:p w14:paraId="3457DCEE">
            <w:pPr>
              <w:jc w:val="center"/>
              <w:rPr>
                <w:rFonts w:hint="eastAsia" w:ascii="宋体" w:hAnsi="宋体" w:eastAsia="宋体" w:cs="宋体"/>
                <w:color w:val="auto"/>
                <w:sz w:val="24"/>
                <w:szCs w:val="24"/>
                <w:highlight w:val="none"/>
              </w:rPr>
            </w:pPr>
          </w:p>
        </w:tc>
      </w:tr>
      <w:tr w14:paraId="7FA36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502" w:type="pct"/>
            <w:gridSpan w:val="2"/>
            <w:vAlign w:val="center"/>
          </w:tcPr>
          <w:p w14:paraId="1BCCB6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629" w:type="pct"/>
            <w:vAlign w:val="center"/>
          </w:tcPr>
          <w:p w14:paraId="2C65E0D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414" w:type="pct"/>
            <w:vAlign w:val="center"/>
          </w:tcPr>
          <w:p w14:paraId="2D077694">
            <w:pPr>
              <w:jc w:val="center"/>
              <w:rPr>
                <w:rFonts w:hint="eastAsia" w:ascii="宋体" w:hAnsi="宋体" w:eastAsia="宋体" w:cs="宋体"/>
                <w:color w:val="auto"/>
                <w:sz w:val="24"/>
                <w:szCs w:val="24"/>
                <w:highlight w:val="none"/>
              </w:rPr>
            </w:pPr>
          </w:p>
        </w:tc>
        <w:tc>
          <w:tcPr>
            <w:tcW w:w="454" w:type="pct"/>
            <w:vAlign w:val="center"/>
          </w:tcPr>
          <w:p w14:paraId="06F880E8">
            <w:pPr>
              <w:jc w:val="center"/>
              <w:rPr>
                <w:rFonts w:hint="eastAsia" w:ascii="宋体" w:hAnsi="宋体" w:eastAsia="宋体" w:cs="宋体"/>
                <w:color w:val="auto"/>
                <w:sz w:val="24"/>
                <w:szCs w:val="24"/>
                <w:highlight w:val="none"/>
              </w:rPr>
            </w:pPr>
          </w:p>
        </w:tc>
      </w:tr>
    </w:tbl>
    <w:p w14:paraId="4B079279">
      <w:pPr>
        <w:ind w:firstLine="480" w:firstLineChars="200"/>
        <w:rPr>
          <w:rFonts w:hint="eastAsia" w:ascii="宋体" w:hAnsi="宋体" w:eastAsia="宋体" w:cs="宋体"/>
          <w:color w:val="auto"/>
          <w:sz w:val="24"/>
          <w:szCs w:val="24"/>
          <w:highlight w:val="none"/>
        </w:rPr>
      </w:pPr>
    </w:p>
    <w:p w14:paraId="1F195490">
      <w:pPr>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要求，进行按月考核，每月达80分及以上为合格，如遇相关部门处罚或系统抓取数据超标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严重程度达到书面整改及以上处罚的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，当月定为不合格，不合格当月处罚500元，造成罚款或其他损失的由外包单位承担。一年内连续三次考核不合格或累计5次，</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有权解除合同，款项按实际服务月数支付。可重新采购，采购期间现有</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应确保污水达标排放，并积极配合下轮</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工作，及时、完整移交相关材料。</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在下轮</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签订合同并进场后与现有</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解除合同。如现有</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以任何理由等拒不配合，</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有权拒绝支付达到解除合同当月至下轮</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签订合同期间的款项。</w:t>
      </w:r>
    </w:p>
    <w:p w14:paraId="00DA43C2">
      <w:pPr>
        <w:spacing w:line="360" w:lineRule="auto"/>
        <w:jc w:val="both"/>
        <w:rPr>
          <w:rFonts w:ascii="宋体" w:hAnsi="宋体" w:cs="宋体"/>
          <w:bCs/>
          <w:color w:val="auto"/>
          <w:sz w:val="24"/>
          <w:szCs w:val="24"/>
          <w:highlight w:val="none"/>
        </w:rPr>
      </w:pPr>
    </w:p>
    <w:sectPr>
      <w:headerReference r:id="rId7" w:type="default"/>
      <w:footerReference r:id="rId8" w:type="default"/>
      <w:pgSz w:w="16838" w:h="11906" w:orient="landscape"/>
      <w:pgMar w:top="1531" w:right="1440" w:bottom="1531"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DotumChe">
    <w:panose1 w:val="020B0609000101010101"/>
    <w:charset w:val="81"/>
    <w:family w:val="modern"/>
    <w:pitch w:val="default"/>
    <w:sig w:usb0="B00002AF" w:usb1="69D77CFB" w:usb2="00000030" w:usb3="00000000" w:csb0="4008009F" w:csb1="DFD70000"/>
  </w:font>
  <w:font w:name="华文中宋">
    <w:panose1 w:val="02010600040101010101"/>
    <w:charset w:val="86"/>
    <w:family w:val="auto"/>
    <w:pitch w:val="default"/>
    <w:sig w:usb0="00000287" w:usb1="080F0000" w:usb2="00000000" w:usb3="00000000" w:csb0="0004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33F81">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3616E7">
                          <w:pPr>
                            <w:pStyle w:val="20"/>
                          </w:pPr>
                          <w:r>
                            <w:t xml:space="preserve">— </w:t>
                          </w:r>
                          <w:r>
                            <w:fldChar w:fldCharType="begin"/>
                          </w:r>
                          <w:r>
                            <w:instrText xml:space="preserve"> PAGE  \* MERGEFORMAT </w:instrText>
                          </w:r>
                          <w:r>
                            <w:fldChar w:fldCharType="separate"/>
                          </w:r>
                          <w:r>
                            <w:t>30</w:t>
                          </w:r>
                          <w:r>
                            <w:fldChar w:fldCharType="end"/>
                          </w:r>
                          <w:r>
                            <w:t xml:space="preserve"> —</w:t>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Hz+ssoBAACcAwAADgAAAGRycy9lMm9Eb2MueG1srVPNjtMwEL4j8Q6W&#10;79Rph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Hz+ssoBAACcAwAADgAAAAAAAAABACAAAAAeAQAAZHJzL2Uyb0Rv&#10;Yy54bWxQSwUGAAAAAAYABgBZAQAAWgUAAAAA&#10;">
              <v:fill on="f" focussize="0,0"/>
              <v:stroke on="f"/>
              <v:imagedata o:title=""/>
              <o:lock v:ext="edit" aspectratio="f"/>
              <v:textbox inset="0mm,0mm,0mm,0mm" style="mso-fit-shape-to-text:t;">
                <w:txbxContent>
                  <w:p w14:paraId="7C3616E7">
                    <w:pPr>
                      <w:pStyle w:val="20"/>
                    </w:pPr>
                    <w:r>
                      <w:t xml:space="preserve">— </w:t>
                    </w:r>
                    <w:r>
                      <w:fldChar w:fldCharType="begin"/>
                    </w:r>
                    <w:r>
                      <w:instrText xml:space="preserve"> PAGE  \* MERGEFORMAT </w:instrText>
                    </w:r>
                    <w:r>
                      <w:fldChar w:fldCharType="separate"/>
                    </w:r>
                    <w:r>
                      <w:t>30</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D49A2">
    <w:pPr>
      <w:pStyle w:val="20"/>
      <w:framePr w:wrap="around" w:vAnchor="text" w:hAnchor="margin" w:xAlign="center" w:y="1"/>
      <w:rPr>
        <w:rStyle w:val="38"/>
      </w:rPr>
    </w:pPr>
    <w:r>
      <w:rPr>
        <w:rStyle w:val="38"/>
      </w:rPr>
      <w:fldChar w:fldCharType="begin"/>
    </w:r>
    <w:r>
      <w:rPr>
        <w:rStyle w:val="38"/>
      </w:rPr>
      <w:instrText xml:space="preserve">PAGE  </w:instrText>
    </w:r>
    <w:r>
      <w:rPr>
        <w:rStyle w:val="38"/>
      </w:rPr>
      <w:fldChar w:fldCharType="end"/>
    </w:r>
  </w:p>
  <w:p w14:paraId="38253750">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71740">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03ADE7">
                          <w:pPr>
                            <w:pStyle w:val="20"/>
                          </w:pPr>
                          <w:r>
                            <w:t xml:space="preserve">— </w:t>
                          </w:r>
                          <w:r>
                            <w:fldChar w:fldCharType="begin"/>
                          </w:r>
                          <w:r>
                            <w:instrText xml:space="preserve"> PAGE  \* MERGEFORMAT </w:instrText>
                          </w:r>
                          <w:r>
                            <w:fldChar w:fldCharType="separate"/>
                          </w:r>
                          <w:r>
                            <w:t>30</w:t>
                          </w:r>
                          <w:r>
                            <w:fldChar w:fldCharType="end"/>
                          </w:r>
                          <w:r>
                            <w:t xml:space="preserve"> —</w:t>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4plRcoBAACcAwAADgAAAGRycy9lMm9Eb2MueG1srVPNjtMwEL4j8Q6W&#10;79Rpk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4plRcoBAACcAwAADgAAAAAAAAABACAAAAAeAQAAZHJzL2Uyb0Rv&#10;Yy54bWxQSwUGAAAAAAYABgBZAQAAWgUAAAAA&#10;">
              <v:fill on="f" focussize="0,0"/>
              <v:stroke on="f"/>
              <v:imagedata o:title=""/>
              <o:lock v:ext="edit" aspectratio="f"/>
              <v:textbox inset="0mm,0mm,0mm,0mm" style="mso-fit-shape-to-text:t;">
                <w:txbxContent>
                  <w:p w14:paraId="1703ADE7">
                    <w:pPr>
                      <w:pStyle w:val="20"/>
                    </w:pPr>
                    <w:r>
                      <w:t xml:space="preserve">— </w:t>
                    </w:r>
                    <w:r>
                      <w:fldChar w:fldCharType="begin"/>
                    </w:r>
                    <w:r>
                      <w:instrText xml:space="preserve"> PAGE  \* MERGEFORMAT </w:instrText>
                    </w:r>
                    <w:r>
                      <w:fldChar w:fldCharType="separate"/>
                    </w:r>
                    <w:r>
                      <w:t>30</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7D7C0">
    <w:pPr>
      <w:pStyle w:val="21"/>
      <w:pBdr>
        <w:bottom w:val="single" w:color="auto" w:sz="6" w:space="0"/>
      </w:pBdr>
      <w:tabs>
        <w:tab w:val="left" w:pos="8460"/>
        <w:tab w:val="left" w:pos="9180"/>
        <w:tab w:val="clear" w:pos="4153"/>
        <w:tab w:val="clear" w:pos="8306"/>
      </w:tabs>
      <w:ind w:right="360"/>
    </w:pPr>
    <w:r>
      <w:rPr>
        <w:rFonts w:hint="eastAsia"/>
      </w:rPr>
      <w:t>六安市政府采购竞争性磋商文件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D56B2">
    <w:pPr>
      <w:pStyle w:val="21"/>
      <w:framePr w:wrap="around" w:vAnchor="text" w:hAnchor="margin" w:xAlign="right" w:y="1"/>
      <w:rPr>
        <w:rStyle w:val="38"/>
      </w:rPr>
    </w:pPr>
    <w:r>
      <w:rPr>
        <w:rStyle w:val="38"/>
      </w:rPr>
      <w:fldChar w:fldCharType="begin"/>
    </w:r>
    <w:r>
      <w:rPr>
        <w:rStyle w:val="38"/>
      </w:rPr>
      <w:instrText xml:space="preserve">PAGE  </w:instrText>
    </w:r>
    <w:r>
      <w:rPr>
        <w:rStyle w:val="38"/>
      </w:rPr>
      <w:fldChar w:fldCharType="end"/>
    </w:r>
  </w:p>
  <w:p w14:paraId="3293D389">
    <w:pPr>
      <w:pStyle w:val="21"/>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0D47A">
    <w:pPr>
      <w:pStyle w:val="21"/>
      <w:pBdr>
        <w:bottom w:val="single" w:color="auto" w:sz="6" w:space="0"/>
      </w:pBdr>
      <w:tabs>
        <w:tab w:val="left" w:pos="8460"/>
        <w:tab w:val="left" w:pos="9180"/>
        <w:tab w:val="clear" w:pos="4153"/>
        <w:tab w:val="clear" w:pos="8306"/>
      </w:tabs>
      <w:ind w:right="360"/>
    </w:pPr>
    <w:r>
      <w:rPr>
        <w:rFonts w:hint="eastAsia"/>
      </w:rPr>
      <w:t>六安市政府采购竞争性磋商文件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6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4MWY0ODliMjQyYjZiZWNmMTUzMTA1ODJiOGVlY2IifQ=="/>
  </w:docVars>
  <w:rsids>
    <w:rsidRoot w:val="002D677B"/>
    <w:rsid w:val="000120AC"/>
    <w:rsid w:val="000145D1"/>
    <w:rsid w:val="00015C71"/>
    <w:rsid w:val="000271A7"/>
    <w:rsid w:val="00042454"/>
    <w:rsid w:val="00053B80"/>
    <w:rsid w:val="00053F56"/>
    <w:rsid w:val="00057B34"/>
    <w:rsid w:val="0006429A"/>
    <w:rsid w:val="00066BCF"/>
    <w:rsid w:val="0007068B"/>
    <w:rsid w:val="0007438F"/>
    <w:rsid w:val="00083A3D"/>
    <w:rsid w:val="00085013"/>
    <w:rsid w:val="0008734A"/>
    <w:rsid w:val="00091912"/>
    <w:rsid w:val="00092365"/>
    <w:rsid w:val="00095459"/>
    <w:rsid w:val="000A18AA"/>
    <w:rsid w:val="000A3D75"/>
    <w:rsid w:val="000D72BD"/>
    <w:rsid w:val="000E215B"/>
    <w:rsid w:val="000E29A9"/>
    <w:rsid w:val="000F6DD6"/>
    <w:rsid w:val="0010048A"/>
    <w:rsid w:val="00102BDC"/>
    <w:rsid w:val="00111AA2"/>
    <w:rsid w:val="00117F05"/>
    <w:rsid w:val="001252D5"/>
    <w:rsid w:val="001260B2"/>
    <w:rsid w:val="00135355"/>
    <w:rsid w:val="00146D70"/>
    <w:rsid w:val="00156254"/>
    <w:rsid w:val="001723C8"/>
    <w:rsid w:val="001903C6"/>
    <w:rsid w:val="001A3254"/>
    <w:rsid w:val="001B57E1"/>
    <w:rsid w:val="001C47BA"/>
    <w:rsid w:val="001C6B89"/>
    <w:rsid w:val="00206019"/>
    <w:rsid w:val="0021447E"/>
    <w:rsid w:val="002175D2"/>
    <w:rsid w:val="00222133"/>
    <w:rsid w:val="00230806"/>
    <w:rsid w:val="00230AFD"/>
    <w:rsid w:val="00232B23"/>
    <w:rsid w:val="00237B8A"/>
    <w:rsid w:val="0024002C"/>
    <w:rsid w:val="0025494F"/>
    <w:rsid w:val="002656AE"/>
    <w:rsid w:val="00281CBF"/>
    <w:rsid w:val="002908AE"/>
    <w:rsid w:val="00295D2C"/>
    <w:rsid w:val="002A2A22"/>
    <w:rsid w:val="002A5B98"/>
    <w:rsid w:val="002C3E11"/>
    <w:rsid w:val="002D508E"/>
    <w:rsid w:val="002D53B9"/>
    <w:rsid w:val="002D677B"/>
    <w:rsid w:val="002E54B3"/>
    <w:rsid w:val="002F5374"/>
    <w:rsid w:val="002F5CAB"/>
    <w:rsid w:val="00314F50"/>
    <w:rsid w:val="003342EF"/>
    <w:rsid w:val="00337DCA"/>
    <w:rsid w:val="00341CB0"/>
    <w:rsid w:val="003452C5"/>
    <w:rsid w:val="00350E5F"/>
    <w:rsid w:val="00370F26"/>
    <w:rsid w:val="003808D6"/>
    <w:rsid w:val="00385D3E"/>
    <w:rsid w:val="003A03AB"/>
    <w:rsid w:val="003E0B3C"/>
    <w:rsid w:val="003E7C3B"/>
    <w:rsid w:val="00410AD8"/>
    <w:rsid w:val="00413100"/>
    <w:rsid w:val="00424DA5"/>
    <w:rsid w:val="00425C52"/>
    <w:rsid w:val="004413B4"/>
    <w:rsid w:val="00453F7D"/>
    <w:rsid w:val="00480966"/>
    <w:rsid w:val="004A2AC5"/>
    <w:rsid w:val="004A45A4"/>
    <w:rsid w:val="004C64FF"/>
    <w:rsid w:val="004D5F5D"/>
    <w:rsid w:val="004F279A"/>
    <w:rsid w:val="0050472D"/>
    <w:rsid w:val="005236AE"/>
    <w:rsid w:val="00524A87"/>
    <w:rsid w:val="00533AAE"/>
    <w:rsid w:val="00554CE3"/>
    <w:rsid w:val="005710D8"/>
    <w:rsid w:val="005A03E4"/>
    <w:rsid w:val="005B04B8"/>
    <w:rsid w:val="005E38A4"/>
    <w:rsid w:val="005E56CC"/>
    <w:rsid w:val="005E754A"/>
    <w:rsid w:val="00654D2C"/>
    <w:rsid w:val="00661562"/>
    <w:rsid w:val="00682117"/>
    <w:rsid w:val="0068795B"/>
    <w:rsid w:val="00695280"/>
    <w:rsid w:val="006B21E7"/>
    <w:rsid w:val="006D3DB9"/>
    <w:rsid w:val="006F01D1"/>
    <w:rsid w:val="006F3D3E"/>
    <w:rsid w:val="006F49EE"/>
    <w:rsid w:val="00703A7D"/>
    <w:rsid w:val="007045A4"/>
    <w:rsid w:val="00715AE4"/>
    <w:rsid w:val="0073207C"/>
    <w:rsid w:val="007550DC"/>
    <w:rsid w:val="00766A44"/>
    <w:rsid w:val="00767BB2"/>
    <w:rsid w:val="00777046"/>
    <w:rsid w:val="00784363"/>
    <w:rsid w:val="0078488E"/>
    <w:rsid w:val="00790BD6"/>
    <w:rsid w:val="0079235B"/>
    <w:rsid w:val="007A4EEE"/>
    <w:rsid w:val="007B00FB"/>
    <w:rsid w:val="007E5141"/>
    <w:rsid w:val="007F2C26"/>
    <w:rsid w:val="007F3323"/>
    <w:rsid w:val="007F72E0"/>
    <w:rsid w:val="00802679"/>
    <w:rsid w:val="00810784"/>
    <w:rsid w:val="00821EE8"/>
    <w:rsid w:val="008448CD"/>
    <w:rsid w:val="0086536B"/>
    <w:rsid w:val="0089296C"/>
    <w:rsid w:val="008A6D3D"/>
    <w:rsid w:val="008B0E3B"/>
    <w:rsid w:val="008C0ED2"/>
    <w:rsid w:val="008D216E"/>
    <w:rsid w:val="008D2429"/>
    <w:rsid w:val="008D283D"/>
    <w:rsid w:val="008E0D41"/>
    <w:rsid w:val="00922A63"/>
    <w:rsid w:val="00925990"/>
    <w:rsid w:val="00940C0D"/>
    <w:rsid w:val="00942328"/>
    <w:rsid w:val="0094320A"/>
    <w:rsid w:val="009628D2"/>
    <w:rsid w:val="00964C0F"/>
    <w:rsid w:val="0097577C"/>
    <w:rsid w:val="00980525"/>
    <w:rsid w:val="009B5EF1"/>
    <w:rsid w:val="009D0332"/>
    <w:rsid w:val="00A051CF"/>
    <w:rsid w:val="00A12E92"/>
    <w:rsid w:val="00A14F6A"/>
    <w:rsid w:val="00A17EB8"/>
    <w:rsid w:val="00A2462A"/>
    <w:rsid w:val="00A27C2C"/>
    <w:rsid w:val="00A301BA"/>
    <w:rsid w:val="00A3443C"/>
    <w:rsid w:val="00A5114C"/>
    <w:rsid w:val="00A52EA8"/>
    <w:rsid w:val="00A612D2"/>
    <w:rsid w:val="00A7302C"/>
    <w:rsid w:val="00A74097"/>
    <w:rsid w:val="00A74C0B"/>
    <w:rsid w:val="00A85BA0"/>
    <w:rsid w:val="00A95755"/>
    <w:rsid w:val="00A957C6"/>
    <w:rsid w:val="00A966A5"/>
    <w:rsid w:val="00AA5057"/>
    <w:rsid w:val="00AB51D7"/>
    <w:rsid w:val="00AC4741"/>
    <w:rsid w:val="00AD100F"/>
    <w:rsid w:val="00B00630"/>
    <w:rsid w:val="00B21075"/>
    <w:rsid w:val="00B27CFD"/>
    <w:rsid w:val="00B4726F"/>
    <w:rsid w:val="00B57818"/>
    <w:rsid w:val="00B578EB"/>
    <w:rsid w:val="00B7616C"/>
    <w:rsid w:val="00B80346"/>
    <w:rsid w:val="00BA10A8"/>
    <w:rsid w:val="00BA136D"/>
    <w:rsid w:val="00BA3764"/>
    <w:rsid w:val="00BB63DF"/>
    <w:rsid w:val="00BB7605"/>
    <w:rsid w:val="00BC2739"/>
    <w:rsid w:val="00BC5045"/>
    <w:rsid w:val="00C0313E"/>
    <w:rsid w:val="00C35B5F"/>
    <w:rsid w:val="00C4377A"/>
    <w:rsid w:val="00C5087F"/>
    <w:rsid w:val="00C56F48"/>
    <w:rsid w:val="00C6343E"/>
    <w:rsid w:val="00C71EC0"/>
    <w:rsid w:val="00C72D9C"/>
    <w:rsid w:val="00C734AB"/>
    <w:rsid w:val="00C84AAC"/>
    <w:rsid w:val="00C97CD9"/>
    <w:rsid w:val="00CA32AE"/>
    <w:rsid w:val="00CA60CE"/>
    <w:rsid w:val="00CB2CE0"/>
    <w:rsid w:val="00CE1386"/>
    <w:rsid w:val="00CE28E9"/>
    <w:rsid w:val="00CE3BB4"/>
    <w:rsid w:val="00CF10C1"/>
    <w:rsid w:val="00CF3743"/>
    <w:rsid w:val="00D027C9"/>
    <w:rsid w:val="00D13AEE"/>
    <w:rsid w:val="00D16453"/>
    <w:rsid w:val="00D175FB"/>
    <w:rsid w:val="00D2401D"/>
    <w:rsid w:val="00D33ECF"/>
    <w:rsid w:val="00D429C1"/>
    <w:rsid w:val="00D6083A"/>
    <w:rsid w:val="00DA1E4E"/>
    <w:rsid w:val="00DA2C77"/>
    <w:rsid w:val="00DA578E"/>
    <w:rsid w:val="00DC1314"/>
    <w:rsid w:val="00DC653F"/>
    <w:rsid w:val="00DD1C69"/>
    <w:rsid w:val="00DD2C6C"/>
    <w:rsid w:val="00DE18CD"/>
    <w:rsid w:val="00DF7DF4"/>
    <w:rsid w:val="00E119E3"/>
    <w:rsid w:val="00E15875"/>
    <w:rsid w:val="00E20914"/>
    <w:rsid w:val="00E231B2"/>
    <w:rsid w:val="00E55D55"/>
    <w:rsid w:val="00E617E1"/>
    <w:rsid w:val="00E848B5"/>
    <w:rsid w:val="00E912B4"/>
    <w:rsid w:val="00EA3497"/>
    <w:rsid w:val="00EB3BD8"/>
    <w:rsid w:val="00EE11E5"/>
    <w:rsid w:val="00EE4358"/>
    <w:rsid w:val="00EE5630"/>
    <w:rsid w:val="00EF2195"/>
    <w:rsid w:val="00EF3C5F"/>
    <w:rsid w:val="00F05A49"/>
    <w:rsid w:val="00F1594F"/>
    <w:rsid w:val="00F22829"/>
    <w:rsid w:val="00F31F25"/>
    <w:rsid w:val="00F40445"/>
    <w:rsid w:val="00F43B03"/>
    <w:rsid w:val="00F464A7"/>
    <w:rsid w:val="00F564DA"/>
    <w:rsid w:val="00F64830"/>
    <w:rsid w:val="00F74BC0"/>
    <w:rsid w:val="00F76D41"/>
    <w:rsid w:val="00F91C4B"/>
    <w:rsid w:val="00F927C2"/>
    <w:rsid w:val="00FA1EEE"/>
    <w:rsid w:val="00FA35DA"/>
    <w:rsid w:val="00FB29F0"/>
    <w:rsid w:val="00FC1D08"/>
    <w:rsid w:val="00FC79F6"/>
    <w:rsid w:val="00FF1C7C"/>
    <w:rsid w:val="011B0745"/>
    <w:rsid w:val="012B64AF"/>
    <w:rsid w:val="015D0D5E"/>
    <w:rsid w:val="01671BDD"/>
    <w:rsid w:val="017E1B19"/>
    <w:rsid w:val="019B1886"/>
    <w:rsid w:val="01ED3B47"/>
    <w:rsid w:val="01F66ABD"/>
    <w:rsid w:val="02510197"/>
    <w:rsid w:val="026E0D49"/>
    <w:rsid w:val="028B36A9"/>
    <w:rsid w:val="02C646E1"/>
    <w:rsid w:val="03062E20"/>
    <w:rsid w:val="03863E70"/>
    <w:rsid w:val="03B22505"/>
    <w:rsid w:val="03DD4B9C"/>
    <w:rsid w:val="03E56DE9"/>
    <w:rsid w:val="03EE2141"/>
    <w:rsid w:val="03EF7C67"/>
    <w:rsid w:val="03F37758"/>
    <w:rsid w:val="04067181"/>
    <w:rsid w:val="040E27E3"/>
    <w:rsid w:val="04103CCA"/>
    <w:rsid w:val="04390EEC"/>
    <w:rsid w:val="044955CA"/>
    <w:rsid w:val="045E7236"/>
    <w:rsid w:val="04744022"/>
    <w:rsid w:val="04A8620D"/>
    <w:rsid w:val="04EE7346"/>
    <w:rsid w:val="05045387"/>
    <w:rsid w:val="05104E6D"/>
    <w:rsid w:val="056703FD"/>
    <w:rsid w:val="05BE3D95"/>
    <w:rsid w:val="05ED76CD"/>
    <w:rsid w:val="05F41565"/>
    <w:rsid w:val="06144F55"/>
    <w:rsid w:val="06262FF6"/>
    <w:rsid w:val="063E0A32"/>
    <w:rsid w:val="06562220"/>
    <w:rsid w:val="065B7F9D"/>
    <w:rsid w:val="067032E2"/>
    <w:rsid w:val="0671705A"/>
    <w:rsid w:val="06986394"/>
    <w:rsid w:val="069B5E85"/>
    <w:rsid w:val="06BA1548"/>
    <w:rsid w:val="07267565"/>
    <w:rsid w:val="07464042"/>
    <w:rsid w:val="074E5043"/>
    <w:rsid w:val="078C18B4"/>
    <w:rsid w:val="07A20F5E"/>
    <w:rsid w:val="07FB4797"/>
    <w:rsid w:val="07FE66CB"/>
    <w:rsid w:val="080B49C0"/>
    <w:rsid w:val="08531B86"/>
    <w:rsid w:val="0861256E"/>
    <w:rsid w:val="08872B64"/>
    <w:rsid w:val="08986F03"/>
    <w:rsid w:val="089E028A"/>
    <w:rsid w:val="08CB2A51"/>
    <w:rsid w:val="093F51ED"/>
    <w:rsid w:val="0946032A"/>
    <w:rsid w:val="095F7F4C"/>
    <w:rsid w:val="0972111F"/>
    <w:rsid w:val="09A60123"/>
    <w:rsid w:val="09AE75F4"/>
    <w:rsid w:val="09B95F2A"/>
    <w:rsid w:val="0A0C7574"/>
    <w:rsid w:val="0A424E4D"/>
    <w:rsid w:val="0A490DB9"/>
    <w:rsid w:val="0AA30A0F"/>
    <w:rsid w:val="0AD938FA"/>
    <w:rsid w:val="0AF82AC1"/>
    <w:rsid w:val="0AF838A6"/>
    <w:rsid w:val="0B557C00"/>
    <w:rsid w:val="0B5964AA"/>
    <w:rsid w:val="0B66533A"/>
    <w:rsid w:val="0B84414D"/>
    <w:rsid w:val="0B8C3FEE"/>
    <w:rsid w:val="0BA63302"/>
    <w:rsid w:val="0BD46BAD"/>
    <w:rsid w:val="0BE120B2"/>
    <w:rsid w:val="0C264442"/>
    <w:rsid w:val="0C602EFA"/>
    <w:rsid w:val="0C6E7A55"/>
    <w:rsid w:val="0C7B4EE3"/>
    <w:rsid w:val="0C8F3D96"/>
    <w:rsid w:val="0CC212FB"/>
    <w:rsid w:val="0CC7352F"/>
    <w:rsid w:val="0CE045F1"/>
    <w:rsid w:val="0CEC43CA"/>
    <w:rsid w:val="0D2B7F62"/>
    <w:rsid w:val="0D50431A"/>
    <w:rsid w:val="0D5E3267"/>
    <w:rsid w:val="0DF624E0"/>
    <w:rsid w:val="0E0D1416"/>
    <w:rsid w:val="0E2624D8"/>
    <w:rsid w:val="0E346850"/>
    <w:rsid w:val="0E404088"/>
    <w:rsid w:val="0E715E49"/>
    <w:rsid w:val="0E7811DB"/>
    <w:rsid w:val="0E7E2310"/>
    <w:rsid w:val="0E925DBF"/>
    <w:rsid w:val="0E990EFC"/>
    <w:rsid w:val="0EA113FA"/>
    <w:rsid w:val="0EC71E62"/>
    <w:rsid w:val="0ECA11CC"/>
    <w:rsid w:val="0EDB1A22"/>
    <w:rsid w:val="0EDF7256"/>
    <w:rsid w:val="0F1D3938"/>
    <w:rsid w:val="0F25284C"/>
    <w:rsid w:val="0F2F6409"/>
    <w:rsid w:val="0F390E8E"/>
    <w:rsid w:val="0F4470B9"/>
    <w:rsid w:val="0F8F57EF"/>
    <w:rsid w:val="0F9067A2"/>
    <w:rsid w:val="0F9A13CF"/>
    <w:rsid w:val="0FB75ADD"/>
    <w:rsid w:val="0FC465FA"/>
    <w:rsid w:val="0FD861D8"/>
    <w:rsid w:val="0FF97625"/>
    <w:rsid w:val="0FFF1232"/>
    <w:rsid w:val="1010485A"/>
    <w:rsid w:val="1018304A"/>
    <w:rsid w:val="104B26C9"/>
    <w:rsid w:val="105F7F23"/>
    <w:rsid w:val="106D43EE"/>
    <w:rsid w:val="110475FD"/>
    <w:rsid w:val="118063A3"/>
    <w:rsid w:val="119066D9"/>
    <w:rsid w:val="119D6F55"/>
    <w:rsid w:val="11A335B5"/>
    <w:rsid w:val="11BF341B"/>
    <w:rsid w:val="11DA55CB"/>
    <w:rsid w:val="11DF30C9"/>
    <w:rsid w:val="120174E4"/>
    <w:rsid w:val="120B24D6"/>
    <w:rsid w:val="1210259C"/>
    <w:rsid w:val="1219428E"/>
    <w:rsid w:val="12422527"/>
    <w:rsid w:val="12546888"/>
    <w:rsid w:val="12744159"/>
    <w:rsid w:val="129906A9"/>
    <w:rsid w:val="129F4EC0"/>
    <w:rsid w:val="12E0534B"/>
    <w:rsid w:val="1303728B"/>
    <w:rsid w:val="13313DF9"/>
    <w:rsid w:val="13490C7D"/>
    <w:rsid w:val="135C3D02"/>
    <w:rsid w:val="13985C26"/>
    <w:rsid w:val="139A7BF0"/>
    <w:rsid w:val="13D52CCE"/>
    <w:rsid w:val="13ED41C3"/>
    <w:rsid w:val="13F41F7E"/>
    <w:rsid w:val="14952165"/>
    <w:rsid w:val="14E27C21"/>
    <w:rsid w:val="153B2049"/>
    <w:rsid w:val="153F6FC2"/>
    <w:rsid w:val="154A38CF"/>
    <w:rsid w:val="15614DA8"/>
    <w:rsid w:val="157B57FF"/>
    <w:rsid w:val="158226E9"/>
    <w:rsid w:val="15AD79BC"/>
    <w:rsid w:val="15BE6BF9"/>
    <w:rsid w:val="15CE37A3"/>
    <w:rsid w:val="15EC04AB"/>
    <w:rsid w:val="16066864"/>
    <w:rsid w:val="163F05DA"/>
    <w:rsid w:val="16467BBB"/>
    <w:rsid w:val="164B6F7F"/>
    <w:rsid w:val="168801D3"/>
    <w:rsid w:val="16991EF7"/>
    <w:rsid w:val="16B66F07"/>
    <w:rsid w:val="1723614E"/>
    <w:rsid w:val="173850A7"/>
    <w:rsid w:val="174C0AC9"/>
    <w:rsid w:val="177B4CDC"/>
    <w:rsid w:val="177E3384"/>
    <w:rsid w:val="17887D5F"/>
    <w:rsid w:val="17BA7FA6"/>
    <w:rsid w:val="181701D8"/>
    <w:rsid w:val="183323C1"/>
    <w:rsid w:val="18344781"/>
    <w:rsid w:val="18D72D4C"/>
    <w:rsid w:val="18FD74C3"/>
    <w:rsid w:val="19145D4E"/>
    <w:rsid w:val="192B2CC7"/>
    <w:rsid w:val="197D517F"/>
    <w:rsid w:val="198B1495"/>
    <w:rsid w:val="198D78AF"/>
    <w:rsid w:val="19D90D46"/>
    <w:rsid w:val="19DB4ABE"/>
    <w:rsid w:val="19F34FC2"/>
    <w:rsid w:val="19FE6792"/>
    <w:rsid w:val="1A02204B"/>
    <w:rsid w:val="1A3441CE"/>
    <w:rsid w:val="1A6C248D"/>
    <w:rsid w:val="1ACD08AB"/>
    <w:rsid w:val="1ADC0AEE"/>
    <w:rsid w:val="1AEA0596"/>
    <w:rsid w:val="1AF45622"/>
    <w:rsid w:val="1AF8344E"/>
    <w:rsid w:val="1B481599"/>
    <w:rsid w:val="1B5A7D5C"/>
    <w:rsid w:val="1B7B26E1"/>
    <w:rsid w:val="1BBFA30C"/>
    <w:rsid w:val="1BD47A17"/>
    <w:rsid w:val="1C1A0C17"/>
    <w:rsid w:val="1C32741A"/>
    <w:rsid w:val="1C405AE5"/>
    <w:rsid w:val="1C630856"/>
    <w:rsid w:val="1C8E27E9"/>
    <w:rsid w:val="1C90746B"/>
    <w:rsid w:val="1CFC0FD3"/>
    <w:rsid w:val="1D2312B8"/>
    <w:rsid w:val="1D3102EB"/>
    <w:rsid w:val="1D57445C"/>
    <w:rsid w:val="1D5C1A72"/>
    <w:rsid w:val="1D960483"/>
    <w:rsid w:val="1DC87107"/>
    <w:rsid w:val="1DF15284"/>
    <w:rsid w:val="1DFD0495"/>
    <w:rsid w:val="1E5170FD"/>
    <w:rsid w:val="1E605F88"/>
    <w:rsid w:val="1E876892"/>
    <w:rsid w:val="1EE47F71"/>
    <w:rsid w:val="1F171CFB"/>
    <w:rsid w:val="1F244811"/>
    <w:rsid w:val="1F3C13B6"/>
    <w:rsid w:val="1F410297"/>
    <w:rsid w:val="1F4B49D6"/>
    <w:rsid w:val="1F9959A8"/>
    <w:rsid w:val="1FDA015E"/>
    <w:rsid w:val="1FF85069"/>
    <w:rsid w:val="20621A95"/>
    <w:rsid w:val="20803104"/>
    <w:rsid w:val="209F6845"/>
    <w:rsid w:val="20A16387"/>
    <w:rsid w:val="20CE2C87"/>
    <w:rsid w:val="20E029BA"/>
    <w:rsid w:val="20F41885"/>
    <w:rsid w:val="20FA7F20"/>
    <w:rsid w:val="212611D2"/>
    <w:rsid w:val="21401DF1"/>
    <w:rsid w:val="21993B18"/>
    <w:rsid w:val="219959F5"/>
    <w:rsid w:val="21AD2104"/>
    <w:rsid w:val="21B856E5"/>
    <w:rsid w:val="21D4251F"/>
    <w:rsid w:val="22053735"/>
    <w:rsid w:val="22101BA0"/>
    <w:rsid w:val="22464B8D"/>
    <w:rsid w:val="228A7081"/>
    <w:rsid w:val="229A201B"/>
    <w:rsid w:val="22CF0F38"/>
    <w:rsid w:val="233F1DB4"/>
    <w:rsid w:val="234D39C2"/>
    <w:rsid w:val="234F7ADD"/>
    <w:rsid w:val="239974D6"/>
    <w:rsid w:val="23B5012E"/>
    <w:rsid w:val="23D20CE0"/>
    <w:rsid w:val="23D305B4"/>
    <w:rsid w:val="23E266D0"/>
    <w:rsid w:val="23E4618A"/>
    <w:rsid w:val="23F30C56"/>
    <w:rsid w:val="24100849"/>
    <w:rsid w:val="244E3D8C"/>
    <w:rsid w:val="246F652F"/>
    <w:rsid w:val="248975AD"/>
    <w:rsid w:val="24B335CE"/>
    <w:rsid w:val="24E862E1"/>
    <w:rsid w:val="24F11BE1"/>
    <w:rsid w:val="258277C2"/>
    <w:rsid w:val="25EF0E4B"/>
    <w:rsid w:val="260B04D9"/>
    <w:rsid w:val="269169B4"/>
    <w:rsid w:val="269C26E3"/>
    <w:rsid w:val="26B24DF9"/>
    <w:rsid w:val="26C8461C"/>
    <w:rsid w:val="26D32EC2"/>
    <w:rsid w:val="27110C4C"/>
    <w:rsid w:val="272E2D63"/>
    <w:rsid w:val="27410CB9"/>
    <w:rsid w:val="276D441A"/>
    <w:rsid w:val="2772576F"/>
    <w:rsid w:val="28096C9A"/>
    <w:rsid w:val="28302479"/>
    <w:rsid w:val="28416802"/>
    <w:rsid w:val="2861396F"/>
    <w:rsid w:val="28B44010"/>
    <w:rsid w:val="28BF44FB"/>
    <w:rsid w:val="28F039B6"/>
    <w:rsid w:val="290B5BF8"/>
    <w:rsid w:val="29214C42"/>
    <w:rsid w:val="293670EF"/>
    <w:rsid w:val="293715E5"/>
    <w:rsid w:val="29384EA8"/>
    <w:rsid w:val="29CC520E"/>
    <w:rsid w:val="29D95957"/>
    <w:rsid w:val="29E26463"/>
    <w:rsid w:val="2A023B5C"/>
    <w:rsid w:val="2A07065D"/>
    <w:rsid w:val="2A0A08C3"/>
    <w:rsid w:val="2A534564"/>
    <w:rsid w:val="2A573A70"/>
    <w:rsid w:val="2B3D7387"/>
    <w:rsid w:val="2B940F71"/>
    <w:rsid w:val="2BCE4483"/>
    <w:rsid w:val="2C38165B"/>
    <w:rsid w:val="2CBD48CE"/>
    <w:rsid w:val="2CE211B2"/>
    <w:rsid w:val="2D0A14EA"/>
    <w:rsid w:val="2D297CCF"/>
    <w:rsid w:val="2D6C5D01"/>
    <w:rsid w:val="2D865C8A"/>
    <w:rsid w:val="2DEA30CA"/>
    <w:rsid w:val="2E015B36"/>
    <w:rsid w:val="2E275F81"/>
    <w:rsid w:val="2E3D31FA"/>
    <w:rsid w:val="2E4E51C2"/>
    <w:rsid w:val="2E77681E"/>
    <w:rsid w:val="2EB16428"/>
    <w:rsid w:val="2ECD27D0"/>
    <w:rsid w:val="2ED356C6"/>
    <w:rsid w:val="2EDC0C65"/>
    <w:rsid w:val="2F45680A"/>
    <w:rsid w:val="2F4B2B19"/>
    <w:rsid w:val="2F6246CC"/>
    <w:rsid w:val="2FC53683"/>
    <w:rsid w:val="2FE97A5F"/>
    <w:rsid w:val="305A47DE"/>
    <w:rsid w:val="30601421"/>
    <w:rsid w:val="30977539"/>
    <w:rsid w:val="309E348C"/>
    <w:rsid w:val="30EC388A"/>
    <w:rsid w:val="31394322"/>
    <w:rsid w:val="316136A3"/>
    <w:rsid w:val="3184082E"/>
    <w:rsid w:val="31BB139D"/>
    <w:rsid w:val="31C53C32"/>
    <w:rsid w:val="31D43E75"/>
    <w:rsid w:val="32087EE0"/>
    <w:rsid w:val="320F1351"/>
    <w:rsid w:val="32472899"/>
    <w:rsid w:val="32617B06"/>
    <w:rsid w:val="32780CA4"/>
    <w:rsid w:val="328304A8"/>
    <w:rsid w:val="3287538B"/>
    <w:rsid w:val="32BC5F4D"/>
    <w:rsid w:val="32C64B91"/>
    <w:rsid w:val="32D14858"/>
    <w:rsid w:val="33317DF9"/>
    <w:rsid w:val="33393656"/>
    <w:rsid w:val="337C1CD3"/>
    <w:rsid w:val="33C11B6F"/>
    <w:rsid w:val="33FE364D"/>
    <w:rsid w:val="3429115A"/>
    <w:rsid w:val="34325CD9"/>
    <w:rsid w:val="34470CF5"/>
    <w:rsid w:val="346113B3"/>
    <w:rsid w:val="34745E56"/>
    <w:rsid w:val="34AC10D9"/>
    <w:rsid w:val="34C46423"/>
    <w:rsid w:val="34C943A5"/>
    <w:rsid w:val="34F17022"/>
    <w:rsid w:val="34F2580B"/>
    <w:rsid w:val="353F360F"/>
    <w:rsid w:val="354B08F2"/>
    <w:rsid w:val="3568190D"/>
    <w:rsid w:val="3586192A"/>
    <w:rsid w:val="35B410D6"/>
    <w:rsid w:val="35BF4E3C"/>
    <w:rsid w:val="35E6061B"/>
    <w:rsid w:val="36024564"/>
    <w:rsid w:val="360F7B72"/>
    <w:rsid w:val="36276335"/>
    <w:rsid w:val="36981B5D"/>
    <w:rsid w:val="36A9634B"/>
    <w:rsid w:val="36B9385F"/>
    <w:rsid w:val="36D079C8"/>
    <w:rsid w:val="37102824"/>
    <w:rsid w:val="37265173"/>
    <w:rsid w:val="373652B7"/>
    <w:rsid w:val="37607F59"/>
    <w:rsid w:val="37B370E4"/>
    <w:rsid w:val="37BC5AD7"/>
    <w:rsid w:val="37D716E7"/>
    <w:rsid w:val="38D60A52"/>
    <w:rsid w:val="38D84F4C"/>
    <w:rsid w:val="390A4CE0"/>
    <w:rsid w:val="39A552A4"/>
    <w:rsid w:val="39D761EF"/>
    <w:rsid w:val="39F257E0"/>
    <w:rsid w:val="3A76410D"/>
    <w:rsid w:val="3A8F3EBA"/>
    <w:rsid w:val="3AB10259"/>
    <w:rsid w:val="3AB710A6"/>
    <w:rsid w:val="3AB74334"/>
    <w:rsid w:val="3ABA6222"/>
    <w:rsid w:val="3AC151B3"/>
    <w:rsid w:val="3AD82C28"/>
    <w:rsid w:val="3AF85078"/>
    <w:rsid w:val="3B274878"/>
    <w:rsid w:val="3B301F44"/>
    <w:rsid w:val="3B516536"/>
    <w:rsid w:val="3BAE4829"/>
    <w:rsid w:val="3BD57D54"/>
    <w:rsid w:val="3BDF73C5"/>
    <w:rsid w:val="3BF770DE"/>
    <w:rsid w:val="3C4707C6"/>
    <w:rsid w:val="3C6F3118"/>
    <w:rsid w:val="3C93788B"/>
    <w:rsid w:val="3CB6664A"/>
    <w:rsid w:val="3D075AA1"/>
    <w:rsid w:val="3D0C480F"/>
    <w:rsid w:val="3D7C4A02"/>
    <w:rsid w:val="3D7D6168"/>
    <w:rsid w:val="3D902D22"/>
    <w:rsid w:val="3D9E1462"/>
    <w:rsid w:val="3DF4021A"/>
    <w:rsid w:val="3DF8538F"/>
    <w:rsid w:val="3E047963"/>
    <w:rsid w:val="3E253286"/>
    <w:rsid w:val="3E3839DE"/>
    <w:rsid w:val="3E8E5BBA"/>
    <w:rsid w:val="3E9A6446"/>
    <w:rsid w:val="3EB86069"/>
    <w:rsid w:val="3EDC10FF"/>
    <w:rsid w:val="3EE14075"/>
    <w:rsid w:val="3F0A5E23"/>
    <w:rsid w:val="3F536D21"/>
    <w:rsid w:val="3F785608"/>
    <w:rsid w:val="3FBB6674"/>
    <w:rsid w:val="3FFF20F3"/>
    <w:rsid w:val="402734A4"/>
    <w:rsid w:val="404943BE"/>
    <w:rsid w:val="405A4873"/>
    <w:rsid w:val="405C30EF"/>
    <w:rsid w:val="407707ED"/>
    <w:rsid w:val="407B3EBF"/>
    <w:rsid w:val="4098711A"/>
    <w:rsid w:val="40B03CFF"/>
    <w:rsid w:val="40DF693D"/>
    <w:rsid w:val="40EF4827"/>
    <w:rsid w:val="40F16A8E"/>
    <w:rsid w:val="412545BE"/>
    <w:rsid w:val="4149687C"/>
    <w:rsid w:val="4184340D"/>
    <w:rsid w:val="418A4550"/>
    <w:rsid w:val="41A06747"/>
    <w:rsid w:val="41AE46E3"/>
    <w:rsid w:val="41E21275"/>
    <w:rsid w:val="422E312E"/>
    <w:rsid w:val="426D634C"/>
    <w:rsid w:val="42CE2655"/>
    <w:rsid w:val="42D67AEC"/>
    <w:rsid w:val="42E934F8"/>
    <w:rsid w:val="42F6152E"/>
    <w:rsid w:val="42F779C3"/>
    <w:rsid w:val="42FF6CFF"/>
    <w:rsid w:val="43302ED5"/>
    <w:rsid w:val="435F19FB"/>
    <w:rsid w:val="43727992"/>
    <w:rsid w:val="43771108"/>
    <w:rsid w:val="438C4E1A"/>
    <w:rsid w:val="43B53AA0"/>
    <w:rsid w:val="43F63ADC"/>
    <w:rsid w:val="4440126D"/>
    <w:rsid w:val="44524D55"/>
    <w:rsid w:val="445F7604"/>
    <w:rsid w:val="446523D2"/>
    <w:rsid w:val="44760DBC"/>
    <w:rsid w:val="44D51F86"/>
    <w:rsid w:val="44DA0696"/>
    <w:rsid w:val="44E45943"/>
    <w:rsid w:val="44E80BF1"/>
    <w:rsid w:val="45097FEC"/>
    <w:rsid w:val="45637592"/>
    <w:rsid w:val="456F61DC"/>
    <w:rsid w:val="4583380E"/>
    <w:rsid w:val="45993146"/>
    <w:rsid w:val="45AC0F39"/>
    <w:rsid w:val="45EB3538"/>
    <w:rsid w:val="45FC062D"/>
    <w:rsid w:val="46440499"/>
    <w:rsid w:val="46527462"/>
    <w:rsid w:val="466E76CF"/>
    <w:rsid w:val="46771AC0"/>
    <w:rsid w:val="467B6B5D"/>
    <w:rsid w:val="473A2B7A"/>
    <w:rsid w:val="47867C8A"/>
    <w:rsid w:val="478F466E"/>
    <w:rsid w:val="47954A4A"/>
    <w:rsid w:val="479B001B"/>
    <w:rsid w:val="479C322F"/>
    <w:rsid w:val="47AD0F98"/>
    <w:rsid w:val="47B73BC5"/>
    <w:rsid w:val="47D21CE6"/>
    <w:rsid w:val="47E5272B"/>
    <w:rsid w:val="47F26492"/>
    <w:rsid w:val="47F55D59"/>
    <w:rsid w:val="480F755D"/>
    <w:rsid w:val="481456B4"/>
    <w:rsid w:val="485D476D"/>
    <w:rsid w:val="48876507"/>
    <w:rsid w:val="488C32A4"/>
    <w:rsid w:val="48A14890"/>
    <w:rsid w:val="48A759E8"/>
    <w:rsid w:val="496F29A9"/>
    <w:rsid w:val="49851FE2"/>
    <w:rsid w:val="49900B72"/>
    <w:rsid w:val="49E0290F"/>
    <w:rsid w:val="49F46BD7"/>
    <w:rsid w:val="4A037596"/>
    <w:rsid w:val="4A4C0CEF"/>
    <w:rsid w:val="4A67403B"/>
    <w:rsid w:val="4A734E79"/>
    <w:rsid w:val="4AD27698"/>
    <w:rsid w:val="4ADB7BCB"/>
    <w:rsid w:val="4B1B114F"/>
    <w:rsid w:val="4B250368"/>
    <w:rsid w:val="4B2B0B52"/>
    <w:rsid w:val="4B7778F3"/>
    <w:rsid w:val="4B7A75FA"/>
    <w:rsid w:val="4B7B52E3"/>
    <w:rsid w:val="4B7F6C9B"/>
    <w:rsid w:val="4BB01238"/>
    <w:rsid w:val="4BE07B8E"/>
    <w:rsid w:val="4BEA27BB"/>
    <w:rsid w:val="4BEE4070"/>
    <w:rsid w:val="4BF93ABC"/>
    <w:rsid w:val="4C2F1AF1"/>
    <w:rsid w:val="4C3F1A69"/>
    <w:rsid w:val="4C401A56"/>
    <w:rsid w:val="4C4179C2"/>
    <w:rsid w:val="4C4A14AC"/>
    <w:rsid w:val="4C4C7D4D"/>
    <w:rsid w:val="4C5E6D05"/>
    <w:rsid w:val="4C692E82"/>
    <w:rsid w:val="4C72630D"/>
    <w:rsid w:val="4C974380"/>
    <w:rsid w:val="4CA7336B"/>
    <w:rsid w:val="4CCA6409"/>
    <w:rsid w:val="4D001539"/>
    <w:rsid w:val="4D060FF1"/>
    <w:rsid w:val="4D227A35"/>
    <w:rsid w:val="4D397978"/>
    <w:rsid w:val="4D5B5816"/>
    <w:rsid w:val="4D6138EC"/>
    <w:rsid w:val="4D6245D3"/>
    <w:rsid w:val="4D714797"/>
    <w:rsid w:val="4D7809BA"/>
    <w:rsid w:val="4D820C8A"/>
    <w:rsid w:val="4D8663E0"/>
    <w:rsid w:val="4D9F0EEA"/>
    <w:rsid w:val="4E1D5B7A"/>
    <w:rsid w:val="4E241889"/>
    <w:rsid w:val="4E2B70BB"/>
    <w:rsid w:val="4E593C28"/>
    <w:rsid w:val="4E810A89"/>
    <w:rsid w:val="4F022BC1"/>
    <w:rsid w:val="4F095D32"/>
    <w:rsid w:val="4F1A4882"/>
    <w:rsid w:val="4F3C4DEC"/>
    <w:rsid w:val="4F49480A"/>
    <w:rsid w:val="4F6D0EC1"/>
    <w:rsid w:val="4FA233AD"/>
    <w:rsid w:val="4FD25A40"/>
    <w:rsid w:val="50055E16"/>
    <w:rsid w:val="50106568"/>
    <w:rsid w:val="504900D3"/>
    <w:rsid w:val="508B7505"/>
    <w:rsid w:val="50C555A5"/>
    <w:rsid w:val="510D2AA8"/>
    <w:rsid w:val="51954F77"/>
    <w:rsid w:val="51A056CA"/>
    <w:rsid w:val="51E101BC"/>
    <w:rsid w:val="51E25CE3"/>
    <w:rsid w:val="522F68D9"/>
    <w:rsid w:val="52462715"/>
    <w:rsid w:val="52892F5B"/>
    <w:rsid w:val="528D3EA0"/>
    <w:rsid w:val="52F61709"/>
    <w:rsid w:val="52FB3500"/>
    <w:rsid w:val="531E71EE"/>
    <w:rsid w:val="53364538"/>
    <w:rsid w:val="53BB67EB"/>
    <w:rsid w:val="53E82F40"/>
    <w:rsid w:val="53F65A75"/>
    <w:rsid w:val="54073585"/>
    <w:rsid w:val="54995B0C"/>
    <w:rsid w:val="54A2071D"/>
    <w:rsid w:val="54B62810"/>
    <w:rsid w:val="54DB7C79"/>
    <w:rsid w:val="54DC2EBD"/>
    <w:rsid w:val="54E74E26"/>
    <w:rsid w:val="550F6DEF"/>
    <w:rsid w:val="55142657"/>
    <w:rsid w:val="55195EBF"/>
    <w:rsid w:val="55580A4D"/>
    <w:rsid w:val="55661F38"/>
    <w:rsid w:val="55B45B96"/>
    <w:rsid w:val="55C3622E"/>
    <w:rsid w:val="55DC1770"/>
    <w:rsid w:val="55EB22AC"/>
    <w:rsid w:val="55F10BEA"/>
    <w:rsid w:val="561133F2"/>
    <w:rsid w:val="562468CA"/>
    <w:rsid w:val="563A60ED"/>
    <w:rsid w:val="563F1955"/>
    <w:rsid w:val="56571FFA"/>
    <w:rsid w:val="56A92CC7"/>
    <w:rsid w:val="56B714EC"/>
    <w:rsid w:val="56EB3E63"/>
    <w:rsid w:val="57216E31"/>
    <w:rsid w:val="5748483A"/>
    <w:rsid w:val="574875AC"/>
    <w:rsid w:val="57AD617D"/>
    <w:rsid w:val="57B63E99"/>
    <w:rsid w:val="57EF1159"/>
    <w:rsid w:val="583D0117"/>
    <w:rsid w:val="58BD10F2"/>
    <w:rsid w:val="58CD33C2"/>
    <w:rsid w:val="58FA6008"/>
    <w:rsid w:val="59367040"/>
    <w:rsid w:val="596469D4"/>
    <w:rsid w:val="5973258D"/>
    <w:rsid w:val="59B60181"/>
    <w:rsid w:val="5A405C9C"/>
    <w:rsid w:val="5A435D8A"/>
    <w:rsid w:val="5A56726E"/>
    <w:rsid w:val="5A6279C1"/>
    <w:rsid w:val="5AA21B93"/>
    <w:rsid w:val="5AB126F6"/>
    <w:rsid w:val="5ADF54B5"/>
    <w:rsid w:val="5B070568"/>
    <w:rsid w:val="5B0CF2D3"/>
    <w:rsid w:val="5B3E0678"/>
    <w:rsid w:val="5B4517BC"/>
    <w:rsid w:val="5B4D0671"/>
    <w:rsid w:val="5B6A1223"/>
    <w:rsid w:val="5B7B30F8"/>
    <w:rsid w:val="5B841BB9"/>
    <w:rsid w:val="5B995664"/>
    <w:rsid w:val="5BBC1D09"/>
    <w:rsid w:val="5BBD57F6"/>
    <w:rsid w:val="5BED3C02"/>
    <w:rsid w:val="5C0A6562"/>
    <w:rsid w:val="5C1A12C5"/>
    <w:rsid w:val="5C34380B"/>
    <w:rsid w:val="5C477536"/>
    <w:rsid w:val="5C9F314E"/>
    <w:rsid w:val="5CBC5AAE"/>
    <w:rsid w:val="5CF3349A"/>
    <w:rsid w:val="5CFC6999"/>
    <w:rsid w:val="5D186A5C"/>
    <w:rsid w:val="5D704AEA"/>
    <w:rsid w:val="5D891708"/>
    <w:rsid w:val="5D995DEF"/>
    <w:rsid w:val="5DA872AE"/>
    <w:rsid w:val="5DF272AD"/>
    <w:rsid w:val="5E196F30"/>
    <w:rsid w:val="5E53117C"/>
    <w:rsid w:val="5E693C4F"/>
    <w:rsid w:val="5E765BD7"/>
    <w:rsid w:val="5EAB7450"/>
    <w:rsid w:val="5EB34C8F"/>
    <w:rsid w:val="5ECF75EF"/>
    <w:rsid w:val="5F0059FA"/>
    <w:rsid w:val="5F912AC4"/>
    <w:rsid w:val="5FD14724"/>
    <w:rsid w:val="60387705"/>
    <w:rsid w:val="603D57A1"/>
    <w:rsid w:val="60700F30"/>
    <w:rsid w:val="607B7DDA"/>
    <w:rsid w:val="61113EEE"/>
    <w:rsid w:val="61A76748"/>
    <w:rsid w:val="61B85B0B"/>
    <w:rsid w:val="61BA4586"/>
    <w:rsid w:val="61BF770C"/>
    <w:rsid w:val="61EA1238"/>
    <w:rsid w:val="62435B9D"/>
    <w:rsid w:val="62A31220"/>
    <w:rsid w:val="62B731FE"/>
    <w:rsid w:val="63023C80"/>
    <w:rsid w:val="630930CF"/>
    <w:rsid w:val="63100901"/>
    <w:rsid w:val="633B34A5"/>
    <w:rsid w:val="636649C5"/>
    <w:rsid w:val="636D3AA1"/>
    <w:rsid w:val="63750765"/>
    <w:rsid w:val="639C1711"/>
    <w:rsid w:val="63B31E42"/>
    <w:rsid w:val="63F61158"/>
    <w:rsid w:val="64033FC2"/>
    <w:rsid w:val="640A35A3"/>
    <w:rsid w:val="642D7291"/>
    <w:rsid w:val="64412D3D"/>
    <w:rsid w:val="64800B74"/>
    <w:rsid w:val="64F22548"/>
    <w:rsid w:val="65024685"/>
    <w:rsid w:val="65216376"/>
    <w:rsid w:val="656062CA"/>
    <w:rsid w:val="65864EAB"/>
    <w:rsid w:val="659106E2"/>
    <w:rsid w:val="65AB236D"/>
    <w:rsid w:val="65B8080F"/>
    <w:rsid w:val="65C07C91"/>
    <w:rsid w:val="65D5198E"/>
    <w:rsid w:val="66430FEE"/>
    <w:rsid w:val="66483EC5"/>
    <w:rsid w:val="66704DB4"/>
    <w:rsid w:val="667E70D0"/>
    <w:rsid w:val="66920B81"/>
    <w:rsid w:val="66FF3B3B"/>
    <w:rsid w:val="67102453"/>
    <w:rsid w:val="677671A1"/>
    <w:rsid w:val="67790CF9"/>
    <w:rsid w:val="677D4A9C"/>
    <w:rsid w:val="67AE693B"/>
    <w:rsid w:val="67BF6452"/>
    <w:rsid w:val="67D22629"/>
    <w:rsid w:val="67E96CAF"/>
    <w:rsid w:val="6888560A"/>
    <w:rsid w:val="68A67F29"/>
    <w:rsid w:val="68C15CCA"/>
    <w:rsid w:val="692D45F0"/>
    <w:rsid w:val="6958090C"/>
    <w:rsid w:val="697D619C"/>
    <w:rsid w:val="698C4A5A"/>
    <w:rsid w:val="6994390F"/>
    <w:rsid w:val="69992F6F"/>
    <w:rsid w:val="69B8584F"/>
    <w:rsid w:val="69D64202"/>
    <w:rsid w:val="69EE3D79"/>
    <w:rsid w:val="6A0E091D"/>
    <w:rsid w:val="6A694D9B"/>
    <w:rsid w:val="6A934299"/>
    <w:rsid w:val="6A9363A9"/>
    <w:rsid w:val="6ABA50AD"/>
    <w:rsid w:val="6B361121"/>
    <w:rsid w:val="6B365CDE"/>
    <w:rsid w:val="6B403D4E"/>
    <w:rsid w:val="6B58725B"/>
    <w:rsid w:val="6BA94127"/>
    <w:rsid w:val="6BFE46EA"/>
    <w:rsid w:val="6C353CDA"/>
    <w:rsid w:val="6C4038DA"/>
    <w:rsid w:val="6C5555D7"/>
    <w:rsid w:val="6C6C46CF"/>
    <w:rsid w:val="6C7F53F2"/>
    <w:rsid w:val="6C8B20CC"/>
    <w:rsid w:val="6C95A85E"/>
    <w:rsid w:val="6CDC3190"/>
    <w:rsid w:val="6D34343E"/>
    <w:rsid w:val="6D415B5B"/>
    <w:rsid w:val="6DA00AD4"/>
    <w:rsid w:val="6E1F40EF"/>
    <w:rsid w:val="6E2A65EF"/>
    <w:rsid w:val="6E317728"/>
    <w:rsid w:val="6E6733A0"/>
    <w:rsid w:val="6E791207"/>
    <w:rsid w:val="6F053873"/>
    <w:rsid w:val="6F1ECFF8"/>
    <w:rsid w:val="6FC52A74"/>
    <w:rsid w:val="703E4332"/>
    <w:rsid w:val="704217E5"/>
    <w:rsid w:val="704F233D"/>
    <w:rsid w:val="70E866BF"/>
    <w:rsid w:val="71106C43"/>
    <w:rsid w:val="71152000"/>
    <w:rsid w:val="715C11B6"/>
    <w:rsid w:val="719E357C"/>
    <w:rsid w:val="71D368CA"/>
    <w:rsid w:val="71E847F7"/>
    <w:rsid w:val="720611F5"/>
    <w:rsid w:val="721756F7"/>
    <w:rsid w:val="721970A7"/>
    <w:rsid w:val="7231680E"/>
    <w:rsid w:val="7242215A"/>
    <w:rsid w:val="725A3947"/>
    <w:rsid w:val="72896870"/>
    <w:rsid w:val="72B77CE7"/>
    <w:rsid w:val="72DF63D7"/>
    <w:rsid w:val="738549F4"/>
    <w:rsid w:val="739F35DC"/>
    <w:rsid w:val="73D94D40"/>
    <w:rsid w:val="73E87175"/>
    <w:rsid w:val="7410028F"/>
    <w:rsid w:val="74102BF5"/>
    <w:rsid w:val="74967468"/>
    <w:rsid w:val="74F51705"/>
    <w:rsid w:val="750872E0"/>
    <w:rsid w:val="754226B0"/>
    <w:rsid w:val="75493BC8"/>
    <w:rsid w:val="75CA11B6"/>
    <w:rsid w:val="762C55FB"/>
    <w:rsid w:val="7656661E"/>
    <w:rsid w:val="76740D50"/>
    <w:rsid w:val="767E572A"/>
    <w:rsid w:val="7689645A"/>
    <w:rsid w:val="76A96C4B"/>
    <w:rsid w:val="76ED37EF"/>
    <w:rsid w:val="770F21D1"/>
    <w:rsid w:val="771F2A69"/>
    <w:rsid w:val="7721621A"/>
    <w:rsid w:val="77515311"/>
    <w:rsid w:val="77AE3DED"/>
    <w:rsid w:val="77EF4493"/>
    <w:rsid w:val="78197B4B"/>
    <w:rsid w:val="78436C2C"/>
    <w:rsid w:val="785030F6"/>
    <w:rsid w:val="785A7E50"/>
    <w:rsid w:val="787E5EB6"/>
    <w:rsid w:val="78A7019A"/>
    <w:rsid w:val="78B563F7"/>
    <w:rsid w:val="78B6564F"/>
    <w:rsid w:val="78C06712"/>
    <w:rsid w:val="78F87A16"/>
    <w:rsid w:val="791F3958"/>
    <w:rsid w:val="796B51A8"/>
    <w:rsid w:val="796E7CD8"/>
    <w:rsid w:val="797D526C"/>
    <w:rsid w:val="79BA3B0E"/>
    <w:rsid w:val="79C67B14"/>
    <w:rsid w:val="79E65AC0"/>
    <w:rsid w:val="7AB61937"/>
    <w:rsid w:val="7ABB6962"/>
    <w:rsid w:val="7AF4539C"/>
    <w:rsid w:val="7BA1033E"/>
    <w:rsid w:val="7C013D85"/>
    <w:rsid w:val="7C18217D"/>
    <w:rsid w:val="7C1E59E5"/>
    <w:rsid w:val="7C2F8C70"/>
    <w:rsid w:val="7C63164A"/>
    <w:rsid w:val="7C662C4B"/>
    <w:rsid w:val="7CF35D84"/>
    <w:rsid w:val="7CF90FE1"/>
    <w:rsid w:val="7D1F2521"/>
    <w:rsid w:val="7D6E64F9"/>
    <w:rsid w:val="7D951CD7"/>
    <w:rsid w:val="7DB40A20"/>
    <w:rsid w:val="7DDF36B2"/>
    <w:rsid w:val="7DF804B8"/>
    <w:rsid w:val="7E136A50"/>
    <w:rsid w:val="7E1F3C97"/>
    <w:rsid w:val="7E2B6198"/>
    <w:rsid w:val="7E49765A"/>
    <w:rsid w:val="7E4C0FEB"/>
    <w:rsid w:val="7E8B0ACD"/>
    <w:rsid w:val="7EA06B86"/>
    <w:rsid w:val="7EB87E98"/>
    <w:rsid w:val="7EBB50F1"/>
    <w:rsid w:val="7EBE0C5A"/>
    <w:rsid w:val="7EC125E3"/>
    <w:rsid w:val="7EE56270"/>
    <w:rsid w:val="7EFB3C47"/>
    <w:rsid w:val="7F372DD5"/>
    <w:rsid w:val="7F6F08D2"/>
    <w:rsid w:val="7F7F569C"/>
    <w:rsid w:val="7F7F68A4"/>
    <w:rsid w:val="7F850ECB"/>
    <w:rsid w:val="7F9E3520"/>
    <w:rsid w:val="7F9F1736"/>
    <w:rsid w:val="7FD21173"/>
    <w:rsid w:val="7FD31A01"/>
    <w:rsid w:val="7FFB101A"/>
    <w:rsid w:val="9BF96BAC"/>
    <w:rsid w:val="AD2DA3B9"/>
    <w:rsid w:val="AF6FE06F"/>
    <w:rsid w:val="D78F6FBA"/>
    <w:rsid w:val="DBDF55C4"/>
    <w:rsid w:val="DF3D59C8"/>
    <w:rsid w:val="EBFFC059"/>
    <w:rsid w:val="EEF1341C"/>
    <w:rsid w:val="F7B9D6FD"/>
    <w:rsid w:val="F7CC7425"/>
    <w:rsid w:val="FAEC74ED"/>
    <w:rsid w:val="FE93A17C"/>
    <w:rsid w:val="FEFF2685"/>
    <w:rsid w:val="FFD23C0D"/>
    <w:rsid w:val="FFEFE6BF"/>
    <w:rsid w:val="FFF59F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4"/>
    <w:qFormat/>
    <w:uiPriority w:val="0"/>
    <w:pPr>
      <w:keepNext/>
      <w:outlineLvl w:val="0"/>
    </w:pPr>
    <w:rPr>
      <w:sz w:val="28"/>
      <w:szCs w:val="24"/>
    </w:rPr>
  </w:style>
  <w:style w:type="paragraph" w:styleId="3">
    <w:name w:val="heading 2"/>
    <w:basedOn w:val="1"/>
    <w:next w:val="1"/>
    <w:link w:val="104"/>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56"/>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7"/>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style>
  <w:style w:type="paragraph" w:styleId="7">
    <w:name w:val="Document Map"/>
    <w:basedOn w:val="1"/>
    <w:link w:val="81"/>
    <w:qFormat/>
    <w:uiPriority w:val="0"/>
    <w:pPr>
      <w:shd w:val="clear" w:color="auto" w:fill="000080"/>
    </w:pPr>
  </w:style>
  <w:style w:type="paragraph" w:styleId="8">
    <w:name w:val="annotation text"/>
    <w:basedOn w:val="1"/>
    <w:link w:val="75"/>
    <w:semiHidden/>
    <w:qFormat/>
    <w:uiPriority w:val="99"/>
    <w:pPr>
      <w:jc w:val="left"/>
    </w:pPr>
  </w:style>
  <w:style w:type="paragraph" w:styleId="9">
    <w:name w:val="Body Text 3"/>
    <w:basedOn w:val="1"/>
    <w:link w:val="96"/>
    <w:unhideWhenUsed/>
    <w:qFormat/>
    <w:uiPriority w:val="99"/>
    <w:pPr>
      <w:spacing w:after="120"/>
    </w:pPr>
    <w:rPr>
      <w:rFonts w:ascii="Calibri" w:hAnsi="Calibri"/>
      <w:sz w:val="16"/>
      <w:szCs w:val="16"/>
      <w:lang w:val="zh-CN"/>
    </w:rPr>
  </w:style>
  <w:style w:type="paragraph" w:styleId="10">
    <w:name w:val="Body Text"/>
    <w:basedOn w:val="1"/>
    <w:link w:val="70"/>
    <w:qFormat/>
    <w:uiPriority w:val="0"/>
    <w:pPr>
      <w:spacing w:after="120"/>
    </w:pPr>
    <w:rPr>
      <w:szCs w:val="24"/>
    </w:rPr>
  </w:style>
  <w:style w:type="paragraph" w:styleId="11">
    <w:name w:val="Body Text Indent"/>
    <w:basedOn w:val="1"/>
    <w:next w:val="12"/>
    <w:link w:val="59"/>
    <w:qFormat/>
    <w:uiPriority w:val="0"/>
    <w:pPr>
      <w:ind w:firstLine="540"/>
    </w:pPr>
    <w:rPr>
      <w:rFonts w:eastAsia="仿宋_GB2312"/>
      <w:sz w:val="28"/>
    </w:rPr>
  </w:style>
  <w:style w:type="paragraph" w:styleId="12">
    <w:name w:val="envelope return"/>
    <w:basedOn w:val="1"/>
    <w:qFormat/>
    <w:uiPriority w:val="0"/>
    <w:pPr>
      <w:snapToGrid w:val="0"/>
    </w:pPr>
    <w:rPr>
      <w:rFonts w:ascii="Arial" w:hAnsi="Arial"/>
    </w:rPr>
  </w:style>
  <w:style w:type="paragraph" w:styleId="13">
    <w:name w:val="toc 5"/>
    <w:basedOn w:val="1"/>
    <w:next w:val="1"/>
    <w:qFormat/>
    <w:uiPriority w:val="0"/>
    <w:pPr>
      <w:ind w:left="1680" w:leftChars="800"/>
    </w:pPr>
  </w:style>
  <w:style w:type="paragraph" w:styleId="14">
    <w:name w:val="toc 3"/>
    <w:basedOn w:val="1"/>
    <w:next w:val="1"/>
    <w:qFormat/>
    <w:uiPriority w:val="39"/>
    <w:pPr>
      <w:ind w:left="840" w:leftChars="400"/>
    </w:pPr>
  </w:style>
  <w:style w:type="paragraph" w:styleId="15">
    <w:name w:val="Plain Text"/>
    <w:basedOn w:val="1"/>
    <w:link w:val="78"/>
    <w:qFormat/>
    <w:uiPriority w:val="0"/>
    <w:rPr>
      <w:rFonts w:ascii="宋体" w:hAnsi="Courier New" w:cstheme="minorBidi"/>
      <w:szCs w:val="22"/>
    </w:rPr>
  </w:style>
  <w:style w:type="paragraph" w:styleId="16">
    <w:name w:val="toc 8"/>
    <w:basedOn w:val="1"/>
    <w:next w:val="1"/>
    <w:qFormat/>
    <w:uiPriority w:val="0"/>
    <w:pPr>
      <w:ind w:left="2940" w:leftChars="1400"/>
    </w:pPr>
  </w:style>
  <w:style w:type="paragraph" w:styleId="17">
    <w:name w:val="Date"/>
    <w:basedOn w:val="1"/>
    <w:next w:val="1"/>
    <w:link w:val="58"/>
    <w:qFormat/>
    <w:uiPriority w:val="0"/>
    <w:rPr>
      <w:rFonts w:ascii="Arial" w:hAnsi="Arial" w:eastAsia="楷体_GB2312"/>
      <w:sz w:val="28"/>
    </w:rPr>
  </w:style>
  <w:style w:type="paragraph" w:styleId="18">
    <w:name w:val="Body Text Indent 2"/>
    <w:basedOn w:val="1"/>
    <w:link w:val="61"/>
    <w:qFormat/>
    <w:uiPriority w:val="0"/>
    <w:pPr>
      <w:tabs>
        <w:tab w:val="left" w:pos="720"/>
      </w:tabs>
      <w:ind w:right="-506" w:rightChars="-241" w:firstLine="538" w:firstLineChars="192"/>
    </w:pPr>
    <w:rPr>
      <w:rFonts w:eastAsia="仿宋_GB2312"/>
      <w:sz w:val="28"/>
    </w:rPr>
  </w:style>
  <w:style w:type="paragraph" w:styleId="19">
    <w:name w:val="Balloon Text"/>
    <w:basedOn w:val="1"/>
    <w:link w:val="72"/>
    <w:qFormat/>
    <w:uiPriority w:val="0"/>
    <w:rPr>
      <w:sz w:val="18"/>
      <w:szCs w:val="18"/>
    </w:rPr>
  </w:style>
  <w:style w:type="paragraph" w:styleId="20">
    <w:name w:val="footer"/>
    <w:basedOn w:val="1"/>
    <w:link w:val="53"/>
    <w:unhideWhenUsed/>
    <w:qFormat/>
    <w:uiPriority w:val="99"/>
    <w:pPr>
      <w:tabs>
        <w:tab w:val="center" w:pos="4153"/>
        <w:tab w:val="right" w:pos="8306"/>
      </w:tabs>
      <w:snapToGrid w:val="0"/>
      <w:jc w:val="left"/>
    </w:pPr>
    <w:rPr>
      <w:sz w:val="18"/>
      <w:szCs w:val="18"/>
    </w:rPr>
  </w:style>
  <w:style w:type="paragraph" w:styleId="21">
    <w:name w:val="header"/>
    <w:basedOn w:val="1"/>
    <w:link w:val="52"/>
    <w:unhideWhenUsed/>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0"/>
  </w:style>
  <w:style w:type="paragraph" w:styleId="23">
    <w:name w:val="toc 4"/>
    <w:basedOn w:val="1"/>
    <w:next w:val="1"/>
    <w:qFormat/>
    <w:uiPriority w:val="0"/>
    <w:pPr>
      <w:ind w:left="1260" w:leftChars="600"/>
    </w:pPr>
  </w:style>
  <w:style w:type="paragraph" w:styleId="24">
    <w:name w:val="toc 6"/>
    <w:basedOn w:val="1"/>
    <w:next w:val="1"/>
    <w:qFormat/>
    <w:uiPriority w:val="0"/>
    <w:pPr>
      <w:ind w:left="2100" w:leftChars="1000"/>
    </w:pPr>
  </w:style>
  <w:style w:type="paragraph" w:styleId="25">
    <w:name w:val="Body Text Indent 3"/>
    <w:basedOn w:val="1"/>
    <w:link w:val="67"/>
    <w:qFormat/>
    <w:uiPriority w:val="0"/>
    <w:pPr>
      <w:ind w:left="178" w:leftChars="85" w:firstLine="560" w:firstLineChars="200"/>
    </w:pPr>
    <w:rPr>
      <w:rFonts w:ascii="仿宋_GB2312" w:hAnsi="Arial" w:eastAsia="仿宋_GB2312"/>
      <w:sz w:val="28"/>
      <w:szCs w:val="24"/>
    </w:rPr>
  </w:style>
  <w:style w:type="paragraph" w:styleId="26">
    <w:name w:val="toc 2"/>
    <w:basedOn w:val="1"/>
    <w:next w:val="1"/>
    <w:qFormat/>
    <w:uiPriority w:val="39"/>
    <w:pPr>
      <w:ind w:left="420" w:leftChars="200"/>
    </w:pPr>
  </w:style>
  <w:style w:type="paragraph" w:styleId="27">
    <w:name w:val="toc 9"/>
    <w:basedOn w:val="1"/>
    <w:next w:val="1"/>
    <w:qFormat/>
    <w:uiPriority w:val="0"/>
    <w:pPr>
      <w:ind w:left="3360" w:leftChars="1600"/>
    </w:pPr>
  </w:style>
  <w:style w:type="paragraph" w:styleId="2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9">
    <w:name w:val="Normal (Web)"/>
    <w:basedOn w:val="1"/>
    <w:unhideWhenUsed/>
    <w:qFormat/>
    <w:uiPriority w:val="99"/>
    <w:pPr>
      <w:jc w:val="left"/>
    </w:pPr>
    <w:rPr>
      <w:kern w:val="0"/>
      <w:sz w:val="24"/>
    </w:rPr>
  </w:style>
  <w:style w:type="paragraph" w:styleId="30">
    <w:name w:val="index 1"/>
    <w:basedOn w:val="1"/>
    <w:next w:val="1"/>
    <w:semiHidden/>
    <w:qFormat/>
    <w:uiPriority w:val="0"/>
    <w:pPr>
      <w:jc w:val="center"/>
    </w:pPr>
    <w:rPr>
      <w:rFonts w:ascii="仿宋_GB2312" w:eastAsia="仿宋_GB2312"/>
      <w:b/>
      <w:bCs/>
      <w:sz w:val="28"/>
    </w:rPr>
  </w:style>
  <w:style w:type="paragraph" w:styleId="31">
    <w:name w:val="annotation subject"/>
    <w:basedOn w:val="8"/>
    <w:next w:val="8"/>
    <w:link w:val="76"/>
    <w:semiHidden/>
    <w:qFormat/>
    <w:uiPriority w:val="99"/>
    <w:rPr>
      <w:b/>
      <w:bCs/>
    </w:rPr>
  </w:style>
  <w:style w:type="paragraph" w:styleId="32">
    <w:name w:val="Body Text First Indent"/>
    <w:basedOn w:val="10"/>
    <w:unhideWhenUsed/>
    <w:qFormat/>
    <w:uiPriority w:val="99"/>
    <w:pPr>
      <w:spacing w:line="400" w:lineRule="atLeast"/>
      <w:ind w:firstLine="426"/>
    </w:pPr>
    <w:rPr>
      <w:sz w:val="24"/>
      <w:szCs w:val="20"/>
    </w:rPr>
  </w:style>
  <w:style w:type="paragraph" w:styleId="33">
    <w:name w:val="Body Text First Indent 2"/>
    <w:basedOn w:val="11"/>
    <w:next w:val="1"/>
    <w:qFormat/>
    <w:uiPriority w:val="99"/>
    <w:pPr>
      <w:spacing w:before="100" w:beforeAutospacing="1" w:after="120" w:line="360" w:lineRule="auto"/>
      <w:ind w:left="420" w:leftChars="200" w:firstLine="420" w:firstLineChars="200"/>
    </w:pPr>
    <w:rPr>
      <w:rFonts w:ascii="Times New Roman"/>
      <w:sz w:val="21"/>
      <w:szCs w:val="21"/>
    </w:rPr>
  </w:style>
  <w:style w:type="table" w:styleId="35">
    <w:name w:val="Table Grid"/>
    <w:basedOn w:val="3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rPr>
  </w:style>
  <w:style w:type="character" w:styleId="38">
    <w:name w:val="page number"/>
    <w:basedOn w:val="36"/>
    <w:qFormat/>
    <w:uiPriority w:val="0"/>
  </w:style>
  <w:style w:type="character" w:styleId="39">
    <w:name w:val="FollowedHyperlink"/>
    <w:basedOn w:val="36"/>
    <w:unhideWhenUsed/>
    <w:qFormat/>
    <w:uiPriority w:val="99"/>
    <w:rPr>
      <w:color w:val="954F72" w:themeColor="followedHyperlink"/>
      <w:u w:val="single"/>
      <w14:textFill>
        <w14:solidFill>
          <w14:schemeClr w14:val="folHlink"/>
        </w14:solidFill>
      </w14:textFill>
    </w:rPr>
  </w:style>
  <w:style w:type="character" w:styleId="40">
    <w:name w:val="HTML Definition"/>
    <w:basedOn w:val="36"/>
    <w:semiHidden/>
    <w:unhideWhenUsed/>
    <w:qFormat/>
    <w:uiPriority w:val="99"/>
  </w:style>
  <w:style w:type="character" w:styleId="41">
    <w:name w:val="HTML Typewriter"/>
    <w:basedOn w:val="36"/>
    <w:semiHidden/>
    <w:unhideWhenUsed/>
    <w:qFormat/>
    <w:uiPriority w:val="99"/>
    <w:rPr>
      <w:rFonts w:hint="default" w:ascii="monospace" w:hAnsi="monospace" w:eastAsia="monospace" w:cs="monospace"/>
      <w:sz w:val="20"/>
    </w:rPr>
  </w:style>
  <w:style w:type="character" w:styleId="42">
    <w:name w:val="HTML Acronym"/>
    <w:basedOn w:val="36"/>
    <w:semiHidden/>
    <w:unhideWhenUsed/>
    <w:qFormat/>
    <w:uiPriority w:val="99"/>
  </w:style>
  <w:style w:type="character" w:styleId="43">
    <w:name w:val="HTML Variable"/>
    <w:basedOn w:val="36"/>
    <w:semiHidden/>
    <w:unhideWhenUsed/>
    <w:qFormat/>
    <w:uiPriority w:val="99"/>
  </w:style>
  <w:style w:type="character" w:styleId="44">
    <w:name w:val="Hyperlink"/>
    <w:basedOn w:val="36"/>
    <w:qFormat/>
    <w:uiPriority w:val="99"/>
    <w:rPr>
      <w:color w:val="333333"/>
      <w:u w:val="none"/>
    </w:rPr>
  </w:style>
  <w:style w:type="character" w:styleId="45">
    <w:name w:val="HTML Code"/>
    <w:basedOn w:val="36"/>
    <w:semiHidden/>
    <w:unhideWhenUsed/>
    <w:qFormat/>
    <w:uiPriority w:val="99"/>
    <w:rPr>
      <w:rFonts w:hint="default" w:ascii="monospace" w:hAnsi="monospace" w:eastAsia="monospace" w:cs="monospace"/>
      <w:sz w:val="20"/>
    </w:rPr>
  </w:style>
  <w:style w:type="character" w:styleId="46">
    <w:name w:val="annotation reference"/>
    <w:semiHidden/>
    <w:qFormat/>
    <w:uiPriority w:val="99"/>
    <w:rPr>
      <w:sz w:val="21"/>
      <w:szCs w:val="21"/>
    </w:rPr>
  </w:style>
  <w:style w:type="character" w:styleId="47">
    <w:name w:val="HTML Cite"/>
    <w:basedOn w:val="36"/>
    <w:semiHidden/>
    <w:unhideWhenUsed/>
    <w:qFormat/>
    <w:uiPriority w:val="99"/>
  </w:style>
  <w:style w:type="character" w:styleId="48">
    <w:name w:val="HTML Keyboard"/>
    <w:basedOn w:val="36"/>
    <w:semiHidden/>
    <w:unhideWhenUsed/>
    <w:qFormat/>
    <w:uiPriority w:val="99"/>
    <w:rPr>
      <w:rFonts w:hint="default" w:ascii="monospace" w:hAnsi="monospace" w:eastAsia="monospace" w:cs="monospace"/>
      <w:sz w:val="20"/>
    </w:rPr>
  </w:style>
  <w:style w:type="character" w:styleId="49">
    <w:name w:val="HTML Sample"/>
    <w:basedOn w:val="36"/>
    <w:semiHidden/>
    <w:unhideWhenUsed/>
    <w:qFormat/>
    <w:uiPriority w:val="99"/>
    <w:rPr>
      <w:rFonts w:ascii="monospace" w:hAnsi="monospace" w:eastAsia="monospace" w:cs="monospace"/>
    </w:rPr>
  </w:style>
  <w:style w:type="paragraph" w:customStyle="1" w:styleId="50">
    <w:name w:val="目录 71"/>
    <w:basedOn w:val="1"/>
    <w:next w:val="1"/>
    <w:qFormat/>
    <w:uiPriority w:val="0"/>
    <w:pPr>
      <w:ind w:left="2520"/>
    </w:pPr>
    <w:rPr>
      <w:rFonts w:ascii="Calibri"/>
    </w:rPr>
  </w:style>
  <w:style w:type="paragraph" w:customStyle="1" w:styleId="51">
    <w:name w:val="Default"/>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 w:type="character" w:customStyle="1" w:styleId="52">
    <w:name w:val="页眉 Char"/>
    <w:basedOn w:val="36"/>
    <w:link w:val="21"/>
    <w:qFormat/>
    <w:uiPriority w:val="0"/>
    <w:rPr>
      <w:sz w:val="18"/>
      <w:szCs w:val="18"/>
    </w:rPr>
  </w:style>
  <w:style w:type="character" w:customStyle="1" w:styleId="53">
    <w:name w:val="页脚 Char"/>
    <w:basedOn w:val="36"/>
    <w:link w:val="20"/>
    <w:qFormat/>
    <w:uiPriority w:val="99"/>
    <w:rPr>
      <w:sz w:val="18"/>
      <w:szCs w:val="18"/>
    </w:rPr>
  </w:style>
  <w:style w:type="character" w:customStyle="1" w:styleId="54">
    <w:name w:val="标题 1 Char"/>
    <w:basedOn w:val="36"/>
    <w:link w:val="2"/>
    <w:qFormat/>
    <w:uiPriority w:val="0"/>
    <w:rPr>
      <w:rFonts w:ascii="Times New Roman" w:hAnsi="Times New Roman" w:eastAsia="宋体" w:cs="Times New Roman"/>
      <w:sz w:val="28"/>
      <w:szCs w:val="24"/>
    </w:rPr>
  </w:style>
  <w:style w:type="character" w:customStyle="1" w:styleId="55">
    <w:name w:val="标题 2 Char"/>
    <w:basedOn w:val="36"/>
    <w:qFormat/>
    <w:uiPriority w:val="0"/>
    <w:rPr>
      <w:rFonts w:ascii="Arial" w:hAnsi="Arial" w:eastAsia="黑体" w:cs="Times New Roman"/>
      <w:b/>
      <w:kern w:val="0"/>
      <w:sz w:val="32"/>
      <w:szCs w:val="20"/>
    </w:rPr>
  </w:style>
  <w:style w:type="character" w:customStyle="1" w:styleId="56">
    <w:name w:val="标题 3 Char"/>
    <w:basedOn w:val="36"/>
    <w:link w:val="4"/>
    <w:qFormat/>
    <w:uiPriority w:val="0"/>
    <w:rPr>
      <w:rFonts w:ascii="Times New Roman" w:hAnsi="Times New Roman" w:eastAsia="宋体" w:cs="Times New Roman"/>
      <w:b/>
      <w:bCs/>
      <w:sz w:val="32"/>
      <w:szCs w:val="32"/>
      <w:lang w:val="zh-CN" w:eastAsia="zh-CN"/>
    </w:rPr>
  </w:style>
  <w:style w:type="character" w:customStyle="1" w:styleId="57">
    <w:name w:val="标题 4 Char"/>
    <w:basedOn w:val="36"/>
    <w:link w:val="5"/>
    <w:qFormat/>
    <w:uiPriority w:val="0"/>
    <w:rPr>
      <w:rFonts w:ascii="Arial" w:hAnsi="Arial" w:eastAsia="黑体" w:cs="Times New Roman"/>
      <w:b/>
      <w:kern w:val="0"/>
      <w:sz w:val="28"/>
      <w:szCs w:val="20"/>
    </w:rPr>
  </w:style>
  <w:style w:type="character" w:customStyle="1" w:styleId="58">
    <w:name w:val="日期 Char"/>
    <w:basedOn w:val="36"/>
    <w:link w:val="17"/>
    <w:qFormat/>
    <w:uiPriority w:val="0"/>
    <w:rPr>
      <w:rFonts w:ascii="Arial" w:hAnsi="Arial" w:eastAsia="楷体_GB2312" w:cs="Times New Roman"/>
      <w:sz w:val="28"/>
      <w:szCs w:val="20"/>
    </w:rPr>
  </w:style>
  <w:style w:type="character" w:customStyle="1" w:styleId="59">
    <w:name w:val="正文文本缩进 Char"/>
    <w:basedOn w:val="36"/>
    <w:link w:val="11"/>
    <w:qFormat/>
    <w:uiPriority w:val="0"/>
    <w:rPr>
      <w:rFonts w:ascii="Times New Roman" w:hAnsi="Times New Roman" w:eastAsia="仿宋_GB2312" w:cs="Times New Roman"/>
      <w:sz w:val="28"/>
      <w:szCs w:val="20"/>
    </w:rPr>
  </w:style>
  <w:style w:type="paragraph" w:customStyle="1" w:styleId="60">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61">
    <w:name w:val="正文文本缩进 2 Char"/>
    <w:basedOn w:val="36"/>
    <w:link w:val="18"/>
    <w:qFormat/>
    <w:uiPriority w:val="0"/>
    <w:rPr>
      <w:rFonts w:ascii="Times New Roman" w:hAnsi="Times New Roman" w:eastAsia="仿宋_GB2312" w:cs="Times New Roman"/>
      <w:sz w:val="28"/>
      <w:szCs w:val="20"/>
    </w:rPr>
  </w:style>
  <w:style w:type="paragraph" w:customStyle="1" w:styleId="62">
    <w:name w:val="样式1"/>
    <w:basedOn w:val="1"/>
    <w:qFormat/>
    <w:uiPriority w:val="0"/>
    <w:pPr>
      <w:numPr>
        <w:ilvl w:val="0"/>
        <w:numId w:val="1"/>
      </w:numPr>
      <w:adjustRightInd w:val="0"/>
      <w:textAlignment w:val="baseline"/>
    </w:pPr>
    <w:rPr>
      <w:rFonts w:ascii="宋体" w:hAnsi="宋体"/>
      <w:kern w:val="0"/>
    </w:rPr>
  </w:style>
  <w:style w:type="paragraph" w:customStyle="1" w:styleId="63">
    <w:name w:val="样式 宋体 五号 行距: 单倍行距"/>
    <w:basedOn w:val="1"/>
    <w:qFormat/>
    <w:uiPriority w:val="0"/>
    <w:pPr>
      <w:adjustRightInd w:val="0"/>
      <w:jc w:val="left"/>
      <w:textAlignment w:val="baseline"/>
    </w:pPr>
    <w:rPr>
      <w:rFonts w:ascii="宋体" w:hAnsi="宋体"/>
      <w:kern w:val="0"/>
    </w:rPr>
  </w:style>
  <w:style w:type="paragraph" w:customStyle="1" w:styleId="64">
    <w:name w:val="样式 标题 2 + 宋体 五号 行距: 单倍行距"/>
    <w:basedOn w:val="3"/>
    <w:qFormat/>
    <w:uiPriority w:val="0"/>
    <w:pPr>
      <w:spacing w:line="240" w:lineRule="auto"/>
    </w:pPr>
    <w:rPr>
      <w:rFonts w:ascii="宋体" w:hAnsi="宋体" w:eastAsia="宋体"/>
      <w:sz w:val="21"/>
    </w:rPr>
  </w:style>
  <w:style w:type="paragraph" w:customStyle="1" w:styleId="65">
    <w:name w:val="Char Char Char Char Char"/>
    <w:basedOn w:val="1"/>
    <w:qFormat/>
    <w:uiPriority w:val="0"/>
    <w:rPr>
      <w:rFonts w:ascii="Tahoma" w:hAnsi="Tahoma"/>
      <w:sz w:val="24"/>
    </w:rPr>
  </w:style>
  <w:style w:type="paragraph" w:customStyle="1" w:styleId="66">
    <w:name w:val="Char"/>
    <w:basedOn w:val="1"/>
    <w:qFormat/>
    <w:uiPriority w:val="0"/>
    <w:rPr>
      <w:rFonts w:ascii="Tahoma" w:hAnsi="Tahoma"/>
      <w:sz w:val="24"/>
    </w:rPr>
  </w:style>
  <w:style w:type="character" w:customStyle="1" w:styleId="67">
    <w:name w:val="正文文本缩进 3 Char"/>
    <w:basedOn w:val="36"/>
    <w:link w:val="25"/>
    <w:qFormat/>
    <w:uiPriority w:val="0"/>
    <w:rPr>
      <w:rFonts w:ascii="仿宋_GB2312" w:hAnsi="Arial" w:eastAsia="仿宋_GB2312" w:cs="Times New Roman"/>
      <w:sz w:val="28"/>
      <w:szCs w:val="24"/>
    </w:rPr>
  </w:style>
  <w:style w:type="paragraph" w:customStyle="1" w:styleId="68">
    <w:name w:val="Char1"/>
    <w:basedOn w:val="1"/>
    <w:qFormat/>
    <w:uiPriority w:val="0"/>
    <w:rPr>
      <w:rFonts w:ascii="Tahoma" w:hAnsi="Tahoma" w:eastAsia="仿宋_GB2312"/>
      <w:sz w:val="24"/>
    </w:rPr>
  </w:style>
  <w:style w:type="paragraph" w:customStyle="1" w:styleId="69">
    <w:name w:val="Char Char Char Char Char Char Char1 Char"/>
    <w:basedOn w:val="1"/>
    <w:qFormat/>
    <w:uiPriority w:val="0"/>
    <w:rPr>
      <w:rFonts w:ascii="Tahoma" w:hAnsi="Tahoma"/>
      <w:sz w:val="24"/>
    </w:rPr>
  </w:style>
  <w:style w:type="character" w:customStyle="1" w:styleId="70">
    <w:name w:val="正文文本 Char"/>
    <w:basedOn w:val="36"/>
    <w:link w:val="10"/>
    <w:qFormat/>
    <w:uiPriority w:val="0"/>
    <w:rPr>
      <w:rFonts w:ascii="Times New Roman" w:hAnsi="Times New Roman" w:eastAsia="宋体" w:cs="Times New Roman"/>
      <w:szCs w:val="24"/>
    </w:rPr>
  </w:style>
  <w:style w:type="paragraph" w:customStyle="1" w:styleId="71">
    <w:name w:val="Char Char Char Char"/>
    <w:basedOn w:val="1"/>
    <w:next w:val="1"/>
    <w:qFormat/>
    <w:uiPriority w:val="0"/>
    <w:pPr>
      <w:widowControl/>
      <w:spacing w:line="360" w:lineRule="auto"/>
      <w:jc w:val="left"/>
    </w:pPr>
  </w:style>
  <w:style w:type="character" w:customStyle="1" w:styleId="72">
    <w:name w:val="批注框文本 Char"/>
    <w:basedOn w:val="36"/>
    <w:link w:val="19"/>
    <w:qFormat/>
    <w:uiPriority w:val="0"/>
    <w:rPr>
      <w:rFonts w:ascii="Times New Roman" w:hAnsi="Times New Roman" w:eastAsia="宋体" w:cs="Times New Roman"/>
      <w:sz w:val="18"/>
      <w:szCs w:val="18"/>
    </w:rPr>
  </w:style>
  <w:style w:type="paragraph" w:customStyle="1" w:styleId="73">
    <w:name w:val="Char Char Char"/>
    <w:basedOn w:val="1"/>
    <w:qFormat/>
    <w:uiPriority w:val="0"/>
    <w:rPr>
      <w:rFonts w:ascii="Tahoma" w:hAnsi="Tahoma"/>
      <w:sz w:val="24"/>
    </w:rPr>
  </w:style>
  <w:style w:type="paragraph" w:customStyle="1" w:styleId="74">
    <w:name w:val="Char Char Char Char Char Char Char Char Char Char"/>
    <w:basedOn w:val="1"/>
    <w:qFormat/>
    <w:uiPriority w:val="0"/>
    <w:rPr>
      <w:rFonts w:ascii="Tahoma" w:hAnsi="Tahoma" w:cs="仿宋_GB2312"/>
      <w:sz w:val="24"/>
    </w:rPr>
  </w:style>
  <w:style w:type="character" w:customStyle="1" w:styleId="75">
    <w:name w:val="批注文字 Char"/>
    <w:basedOn w:val="36"/>
    <w:link w:val="8"/>
    <w:semiHidden/>
    <w:qFormat/>
    <w:uiPriority w:val="99"/>
    <w:rPr>
      <w:rFonts w:ascii="Times New Roman" w:hAnsi="Times New Roman" w:eastAsia="宋体" w:cs="Times New Roman"/>
      <w:szCs w:val="20"/>
    </w:rPr>
  </w:style>
  <w:style w:type="character" w:customStyle="1" w:styleId="76">
    <w:name w:val="批注主题 Char"/>
    <w:basedOn w:val="75"/>
    <w:link w:val="31"/>
    <w:semiHidden/>
    <w:qFormat/>
    <w:uiPriority w:val="99"/>
    <w:rPr>
      <w:rFonts w:ascii="Times New Roman" w:hAnsi="Times New Roman" w:eastAsia="宋体" w:cs="Times New Roman"/>
      <w:b/>
      <w:bCs/>
      <w:szCs w:val="20"/>
    </w:rPr>
  </w:style>
  <w:style w:type="paragraph" w:customStyle="1" w:styleId="77">
    <w:name w:val="Char Char Char Char Char Char"/>
    <w:basedOn w:val="1"/>
    <w:qFormat/>
    <w:uiPriority w:val="0"/>
  </w:style>
  <w:style w:type="character" w:customStyle="1" w:styleId="78">
    <w:name w:val="纯文本 Char"/>
    <w:link w:val="15"/>
    <w:qFormat/>
    <w:uiPriority w:val="0"/>
    <w:rPr>
      <w:rFonts w:ascii="宋体" w:hAnsi="Courier New" w:eastAsia="宋体"/>
    </w:rPr>
  </w:style>
  <w:style w:type="character" w:customStyle="1" w:styleId="79">
    <w:name w:val="纯文本 Char1"/>
    <w:basedOn w:val="36"/>
    <w:semiHidden/>
    <w:qFormat/>
    <w:uiPriority w:val="99"/>
    <w:rPr>
      <w:rFonts w:ascii="宋体" w:hAnsi="Courier New" w:eastAsia="宋体" w:cs="Courier New"/>
      <w:szCs w:val="21"/>
    </w:rPr>
  </w:style>
  <w:style w:type="paragraph" w:customStyle="1" w:styleId="80">
    <w:name w:val="Char12 Char Char Char"/>
    <w:basedOn w:val="1"/>
    <w:qFormat/>
    <w:uiPriority w:val="0"/>
  </w:style>
  <w:style w:type="character" w:customStyle="1" w:styleId="81">
    <w:name w:val="文档结构图 Char"/>
    <w:basedOn w:val="36"/>
    <w:link w:val="7"/>
    <w:qFormat/>
    <w:uiPriority w:val="0"/>
    <w:rPr>
      <w:rFonts w:ascii="Times New Roman" w:hAnsi="Times New Roman" w:eastAsia="宋体" w:cs="Times New Roman"/>
      <w:szCs w:val="20"/>
      <w:shd w:val="clear" w:color="auto" w:fill="000080"/>
    </w:rPr>
  </w:style>
  <w:style w:type="character" w:customStyle="1" w:styleId="82">
    <w:name w:val="style29"/>
    <w:qFormat/>
    <w:uiPriority w:val="0"/>
  </w:style>
  <w:style w:type="character" w:customStyle="1" w:styleId="83">
    <w:name w:val="正文1"/>
    <w:qFormat/>
    <w:uiPriority w:val="0"/>
  </w:style>
  <w:style w:type="character" w:customStyle="1" w:styleId="84">
    <w:name w:val="font11"/>
    <w:qFormat/>
    <w:uiPriority w:val="0"/>
    <w:rPr>
      <w:rFonts w:hint="default" w:ascii="Times New Roman" w:hAnsi="Times New Roman" w:cs="Times New Roman"/>
      <w:color w:val="3366FF"/>
      <w:sz w:val="24"/>
      <w:szCs w:val="24"/>
      <w:u w:val="none"/>
    </w:rPr>
  </w:style>
  <w:style w:type="character" w:customStyle="1" w:styleId="85">
    <w:name w:val="font21"/>
    <w:qFormat/>
    <w:uiPriority w:val="0"/>
    <w:rPr>
      <w:rFonts w:hint="eastAsia" w:ascii="宋体" w:hAnsi="宋体" w:eastAsia="宋体"/>
      <w:color w:val="3366FF"/>
      <w:sz w:val="24"/>
      <w:szCs w:val="24"/>
      <w:u w:val="none"/>
    </w:rPr>
  </w:style>
  <w:style w:type="paragraph" w:customStyle="1" w:styleId="86">
    <w:name w:val="Char Char15"/>
    <w:basedOn w:val="1"/>
    <w:qFormat/>
    <w:uiPriority w:val="0"/>
    <w:rPr>
      <w:rFonts w:ascii="Tahoma" w:hAnsi="Tahoma" w:eastAsia="仿宋_GB2312"/>
      <w:sz w:val="24"/>
    </w:rPr>
  </w:style>
  <w:style w:type="paragraph" w:customStyle="1" w:styleId="87">
    <w:name w:val="列出段落1"/>
    <w:basedOn w:val="1"/>
    <w:qFormat/>
    <w:uiPriority w:val="0"/>
    <w:pPr>
      <w:ind w:firstLine="420" w:firstLineChars="200"/>
    </w:pPr>
    <w:rPr>
      <w:rFonts w:ascii="Calibri" w:hAnsi="Calibri"/>
      <w:szCs w:val="22"/>
    </w:rPr>
  </w:style>
  <w:style w:type="paragraph" w:customStyle="1" w:styleId="88">
    <w:name w:val="Char2"/>
    <w:basedOn w:val="1"/>
    <w:qFormat/>
    <w:uiPriority w:val="0"/>
    <w:pPr>
      <w:tabs>
        <w:tab w:val="left" w:pos="360"/>
      </w:tabs>
    </w:pPr>
    <w:rPr>
      <w:sz w:val="24"/>
      <w:szCs w:val="24"/>
    </w:rPr>
  </w:style>
  <w:style w:type="paragraph" w:customStyle="1" w:styleId="89">
    <w:name w:val="Char16"/>
    <w:basedOn w:val="1"/>
    <w:qFormat/>
    <w:uiPriority w:val="0"/>
    <w:rPr>
      <w:rFonts w:ascii="Tahoma" w:hAnsi="Tahoma" w:eastAsia="仿宋_GB2312"/>
      <w:sz w:val="24"/>
    </w:rPr>
  </w:style>
  <w:style w:type="paragraph" w:customStyle="1" w:styleId="90">
    <w:name w:val="Char Char1"/>
    <w:basedOn w:val="1"/>
    <w:qFormat/>
    <w:uiPriority w:val="0"/>
    <w:rPr>
      <w:rFonts w:ascii="Tahoma" w:hAnsi="Tahoma"/>
      <w:sz w:val="24"/>
    </w:rPr>
  </w:style>
  <w:style w:type="paragraph" w:customStyle="1" w:styleId="91">
    <w:name w:val="Char Char Char Char Char Char Char"/>
    <w:basedOn w:val="1"/>
    <w:qFormat/>
    <w:uiPriority w:val="0"/>
    <w:rPr>
      <w:szCs w:val="24"/>
    </w:rPr>
  </w:style>
  <w:style w:type="paragraph" w:customStyle="1" w:styleId="92">
    <w:name w:val="Char Char"/>
    <w:basedOn w:val="1"/>
    <w:qFormat/>
    <w:uiPriority w:val="0"/>
    <w:rPr>
      <w:rFonts w:ascii="Tahoma" w:hAnsi="Tahoma" w:cs="仿宋_GB2312"/>
      <w:sz w:val="24"/>
    </w:rPr>
  </w:style>
  <w:style w:type="paragraph" w:customStyle="1" w:styleId="93">
    <w:name w:val="Char Char2"/>
    <w:basedOn w:val="1"/>
    <w:qFormat/>
    <w:uiPriority w:val="0"/>
    <w:rPr>
      <w:rFonts w:ascii="Tahoma" w:hAnsi="Tahoma" w:cs="仿宋_GB2312"/>
      <w:sz w:val="24"/>
    </w:rPr>
  </w:style>
  <w:style w:type="paragraph" w:customStyle="1" w:styleId="94">
    <w:name w:val="Char Char Char1"/>
    <w:basedOn w:val="1"/>
    <w:qFormat/>
    <w:uiPriority w:val="0"/>
    <w:rPr>
      <w:rFonts w:ascii="Tahoma" w:hAnsi="Tahoma"/>
      <w:sz w:val="24"/>
    </w:rPr>
  </w:style>
  <w:style w:type="paragraph" w:customStyle="1" w:styleId="95">
    <w:name w:val="D&amp;L"/>
    <w:basedOn w:val="21"/>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96">
    <w:name w:val="正文文本 3 Char"/>
    <w:basedOn w:val="36"/>
    <w:link w:val="9"/>
    <w:qFormat/>
    <w:uiPriority w:val="99"/>
    <w:rPr>
      <w:rFonts w:ascii="Calibri" w:hAnsi="Calibri" w:eastAsia="宋体" w:cs="Times New Roman"/>
      <w:sz w:val="16"/>
      <w:szCs w:val="16"/>
      <w:lang w:val="zh-CN" w:eastAsia="zh-CN"/>
    </w:rPr>
  </w:style>
  <w:style w:type="paragraph" w:customStyle="1" w:styleId="97">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98">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9">
    <w:name w:val="style23"/>
    <w:qFormat/>
    <w:uiPriority w:val="0"/>
    <w:rPr>
      <w:rFonts w:ascii="Times New Roman" w:hAnsi="Times New Roman" w:eastAsia="宋体"/>
    </w:rPr>
  </w:style>
  <w:style w:type="paragraph" w:customStyle="1" w:styleId="100">
    <w:name w:val="p0"/>
    <w:basedOn w:val="1"/>
    <w:qFormat/>
    <w:uiPriority w:val="0"/>
    <w:pPr>
      <w:widowControl/>
      <w:jc w:val="left"/>
    </w:pPr>
    <w:rPr>
      <w:rFonts w:ascii="等线" w:hAnsi="等线" w:eastAsia="等线" w:cs="等线"/>
      <w:kern w:val="0"/>
      <w:sz w:val="20"/>
      <w:szCs w:val="22"/>
    </w:rPr>
  </w:style>
  <w:style w:type="paragraph" w:customStyle="1" w:styleId="101">
    <w:name w:val="列表段落1"/>
    <w:basedOn w:val="1"/>
    <w:qFormat/>
    <w:uiPriority w:val="34"/>
    <w:pPr>
      <w:ind w:firstLine="420" w:firstLineChars="200"/>
    </w:pPr>
    <w:rPr>
      <w:szCs w:val="24"/>
    </w:rPr>
  </w:style>
  <w:style w:type="paragraph" w:customStyle="1" w:styleId="102">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customStyle="1" w:styleId="103">
    <w:name w:val="Table Paragraph"/>
    <w:basedOn w:val="1"/>
    <w:qFormat/>
    <w:uiPriority w:val="1"/>
  </w:style>
  <w:style w:type="character" w:customStyle="1" w:styleId="104">
    <w:name w:val="标题 2 Char1"/>
    <w:link w:val="3"/>
    <w:qFormat/>
    <w:uiPriority w:val="0"/>
    <w:rPr>
      <w:rFonts w:ascii="Arial" w:hAnsi="Arial" w:eastAsia="黑体"/>
      <w:b/>
      <w:bCs/>
      <w:sz w:val="32"/>
      <w:szCs w:val="32"/>
    </w:rPr>
  </w:style>
  <w:style w:type="paragraph" w:styleId="105">
    <w:name w:val="List Paragraph"/>
    <w:basedOn w:val="1"/>
    <w:qFormat/>
    <w:uiPriority w:val="99"/>
    <w:pPr>
      <w:ind w:firstLine="420" w:firstLineChars="200"/>
    </w:pPr>
  </w:style>
  <w:style w:type="table" w:customStyle="1" w:styleId="106">
    <w:name w:val="Table Normal"/>
    <w:semiHidden/>
    <w:unhideWhenUsed/>
    <w:qFormat/>
    <w:uiPriority w:val="0"/>
    <w:rPr>
      <w:rFonts w:ascii="Arial" w:hAnsi="Arial" w:cs="Arial"/>
    </w:rPr>
    <w:tblPr>
      <w:tblCellMar>
        <w:top w:w="0" w:type="dxa"/>
        <w:left w:w="0" w:type="dxa"/>
        <w:bottom w:w="0" w:type="dxa"/>
        <w:right w:w="0" w:type="dxa"/>
      </w:tblCellMar>
    </w:tblPr>
  </w:style>
  <w:style w:type="paragraph" w:customStyle="1" w:styleId="107">
    <w:name w:val="Table Text"/>
    <w:basedOn w:val="1"/>
    <w:semiHidden/>
    <w:qFormat/>
    <w:uiPriority w:val="0"/>
    <w:rPr>
      <w:rFonts w:ascii="仿宋" w:hAnsi="仿宋" w:eastAsia="仿宋" w:cs="仿宋"/>
      <w:sz w:val="22"/>
      <w:szCs w:val="22"/>
      <w:lang w:val="en-US" w:eastAsia="en-US" w:bidi="ar-SA"/>
    </w:rPr>
  </w:style>
  <w:style w:type="character" w:customStyle="1" w:styleId="108">
    <w:name w:val="cur2"/>
    <w:basedOn w:val="36"/>
    <w:qFormat/>
    <w:uiPriority w:val="0"/>
    <w:rPr>
      <w:shd w:val="clear" w:fill="D6D6D6"/>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736</Words>
  <Characters>857</Characters>
  <Lines>177</Lines>
  <Paragraphs>49</Paragraphs>
  <TotalTime>0</TotalTime>
  <ScaleCrop>false</ScaleCrop>
  <LinksUpToDate>false</LinksUpToDate>
  <CharactersWithSpaces>865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2017-04-19T23:21:00Z</dcterms:created>
  <dc:creator>朱少尉</dc:creator>
  <cp:lastModifiedBy>99特工</cp:lastModifiedBy>
  <cp:lastPrinted>2024-09-26T00:42:00Z</cp:lastPrinted>
  <dcterms:modified xsi:type="dcterms:W3CDTF">2024-10-17T02:40:42Z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02484D641C6F4031A6E949967F0AF6B7_13</vt:lpwstr>
  </property>
</Properties>
</file>